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C5A4" w14:textId="60B7188D" w:rsidR="00064D47" w:rsidRPr="00E714C7" w:rsidRDefault="00064D47">
      <w:pPr>
        <w:rPr>
          <w:b/>
          <w:bCs/>
          <w:sz w:val="28"/>
          <w:szCs w:val="28"/>
        </w:rPr>
      </w:pPr>
      <w:r w:rsidRPr="00E714C7">
        <w:rPr>
          <w:b/>
          <w:bCs/>
          <w:sz w:val="28"/>
          <w:szCs w:val="28"/>
        </w:rPr>
        <w:t>TA</w:t>
      </w:r>
      <w:r w:rsidR="00FA78A0">
        <w:rPr>
          <w:b/>
          <w:bCs/>
          <w:sz w:val="28"/>
          <w:szCs w:val="28"/>
        </w:rPr>
        <w:t>Č</w:t>
      </w:r>
      <w:r w:rsidRPr="00E714C7">
        <w:rPr>
          <w:b/>
          <w:bCs/>
          <w:sz w:val="28"/>
          <w:szCs w:val="28"/>
        </w:rPr>
        <w:t xml:space="preserve">R </w:t>
      </w:r>
      <w:r w:rsidR="00FA78A0">
        <w:rPr>
          <w:b/>
          <w:bCs/>
          <w:sz w:val="28"/>
          <w:szCs w:val="28"/>
        </w:rPr>
        <w:t xml:space="preserve">Delta 2 </w:t>
      </w:r>
      <w:r w:rsidR="00FA78A0" w:rsidRPr="00FA78A0">
        <w:rPr>
          <w:b/>
          <w:bCs/>
          <w:sz w:val="24"/>
          <w:szCs w:val="24"/>
        </w:rPr>
        <w:t>Pátá veřejná soutěž</w:t>
      </w:r>
      <w:r w:rsidRPr="00E714C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103BD" wp14:editId="324E3540">
                <wp:extent cx="304800" cy="304800"/>
                <wp:effectExtent l="0" t="0" r="0" b="0"/>
                <wp:docPr id="1" name="Obdélní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E9E44" id="Obdélník 1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ACA9DB" w14:textId="24FD5EAC" w:rsidR="00064D47" w:rsidRPr="00D82832" w:rsidRDefault="00064D47">
      <w:r>
        <w:rPr>
          <w:noProof/>
        </w:rPr>
        <w:drawing>
          <wp:inline distT="0" distB="0" distL="0" distR="0" wp14:anchorId="33BF16A3" wp14:editId="61D752B6">
            <wp:extent cx="866775" cy="8667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C92C5" w14:textId="23B3C42B" w:rsidR="001444AD" w:rsidRDefault="00064D47" w:rsidP="00FA78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92929"/>
          <w:kern w:val="0"/>
          <w:sz w:val="24"/>
          <w:szCs w:val="24"/>
          <w:lang w:eastAsia="cs-CZ"/>
          <w14:ligatures w14:val="none"/>
        </w:rPr>
      </w:pPr>
      <w:r w:rsidRPr="00064D47">
        <w:rPr>
          <w:rFonts w:ascii="Open Sans" w:eastAsia="Times New Roman" w:hAnsi="Open Sans" w:cs="Open Sans"/>
          <w:color w:val="5F5F5F"/>
          <w:kern w:val="0"/>
          <w:sz w:val="24"/>
          <w:szCs w:val="24"/>
          <w:lang w:eastAsia="cs-CZ"/>
          <w14:ligatures w14:val="none"/>
        </w:rPr>
        <w:t>Lhůta pro podání návrhů projektů</w:t>
      </w:r>
      <w:r w:rsidR="001444AD">
        <w:rPr>
          <w:rFonts w:ascii="Open Sans" w:eastAsia="Times New Roman" w:hAnsi="Open Sans" w:cs="Open Sans"/>
          <w:color w:val="5F5F5F"/>
          <w:kern w:val="0"/>
          <w:sz w:val="24"/>
          <w:szCs w:val="24"/>
          <w:lang w:eastAsia="cs-CZ"/>
          <w14:ligatures w14:val="none"/>
        </w:rPr>
        <w:t xml:space="preserve">: </w:t>
      </w:r>
      <w:r w:rsidR="00FA78A0" w:rsidRPr="00FA78A0">
        <w:rPr>
          <w:rFonts w:ascii="Open Sans" w:eastAsia="Times New Roman" w:hAnsi="Open Sans" w:cs="Open Sans"/>
          <w:b/>
          <w:bCs/>
          <w:color w:val="292929"/>
          <w:kern w:val="0"/>
          <w:sz w:val="24"/>
          <w:szCs w:val="24"/>
          <w:lang w:eastAsia="cs-CZ"/>
          <w14:ligatures w14:val="none"/>
        </w:rPr>
        <w:t>18. 5. 2023 - 19. 7. 2023</w:t>
      </w:r>
    </w:p>
    <w:p w14:paraId="4633508B" w14:textId="77777777" w:rsidR="001444AD" w:rsidRPr="001444AD" w:rsidRDefault="001444AD" w:rsidP="00FA78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F5F5F"/>
          <w:kern w:val="0"/>
          <w:sz w:val="24"/>
          <w:szCs w:val="24"/>
          <w:lang w:eastAsia="cs-CZ"/>
          <w14:ligatures w14:val="none"/>
        </w:rPr>
      </w:pPr>
    </w:p>
    <w:p w14:paraId="39421852" w14:textId="77777777" w:rsidR="001444AD" w:rsidRDefault="00BE7B28" w:rsidP="001444AD">
      <w:pPr>
        <w:spacing w:line="240" w:lineRule="auto"/>
      </w:pPr>
      <w:r>
        <w:t xml:space="preserve">Maximální výše podpory na jeden projekt: 16. mil Kč </w:t>
      </w:r>
    </w:p>
    <w:p w14:paraId="1C05E59F" w14:textId="77777777" w:rsidR="001444AD" w:rsidRDefault="00BE7B28" w:rsidP="001444AD">
      <w:pPr>
        <w:spacing w:line="240" w:lineRule="auto"/>
        <w:rPr>
          <w:rFonts w:ascii="Open Sans" w:eastAsia="Times New Roman" w:hAnsi="Open Sans" w:cs="Open Sans"/>
          <w:color w:val="292929"/>
          <w:kern w:val="0"/>
          <w:sz w:val="20"/>
          <w:szCs w:val="20"/>
          <w:lang w:eastAsia="cs-CZ"/>
          <w14:ligatures w14:val="none"/>
        </w:rPr>
      </w:pPr>
      <w:r w:rsidRPr="001444AD">
        <w:rPr>
          <w:sz w:val="20"/>
          <w:szCs w:val="20"/>
        </w:rPr>
        <w:t xml:space="preserve">Maximální intenzita podpory na jeden projekt: 74 % </w:t>
      </w:r>
      <w:hyperlink r:id="rId7" w:tgtFrame="_blank" w:history="1"/>
    </w:p>
    <w:p w14:paraId="3AD756E8" w14:textId="1EF0EECD" w:rsidR="001444AD" w:rsidRPr="001444AD" w:rsidRDefault="001444AD" w:rsidP="001444AD">
      <w:pPr>
        <w:spacing w:line="240" w:lineRule="auto"/>
        <w:rPr>
          <w:rFonts w:ascii="Open Sans" w:eastAsia="Times New Roman" w:hAnsi="Open Sans" w:cs="Open Sans"/>
          <w:color w:val="292929"/>
          <w:kern w:val="0"/>
          <w:sz w:val="20"/>
          <w:szCs w:val="20"/>
          <w:lang w:eastAsia="cs-CZ"/>
          <w14:ligatures w14:val="none"/>
        </w:rPr>
      </w:pPr>
      <w:r w:rsidRPr="001444AD">
        <w:rPr>
          <w:rFonts w:eastAsia="Times New Roman" w:cstheme="minorHAnsi"/>
          <w:color w:val="292929"/>
          <w:kern w:val="0"/>
          <w:lang w:eastAsia="cs-CZ"/>
          <w14:ligatures w14:val="none"/>
        </w:rPr>
        <w:t>začátek realizace: prosinec 2023 / leden-únor 2024</w:t>
      </w:r>
    </w:p>
    <w:p w14:paraId="07A31A72" w14:textId="08EA9DA6" w:rsidR="001444AD" w:rsidRDefault="001444AD" w:rsidP="001444AD">
      <w:pPr>
        <w:spacing w:line="240" w:lineRule="auto"/>
        <w:rPr>
          <w:rFonts w:eastAsia="Times New Roman" w:cstheme="minorHAnsi"/>
          <w:color w:val="292929"/>
          <w:kern w:val="0"/>
          <w:lang w:eastAsia="cs-CZ"/>
          <w14:ligatures w14:val="none"/>
        </w:rPr>
      </w:pPr>
      <w:r>
        <w:rPr>
          <w:rFonts w:eastAsia="Times New Roman" w:cstheme="minorHAnsi"/>
          <w:color w:val="292929"/>
          <w:kern w:val="0"/>
          <w:lang w:eastAsia="cs-CZ"/>
          <w14:ligatures w14:val="none"/>
        </w:rPr>
        <w:t>Délka realizace: 12-24 měsíců</w:t>
      </w:r>
    </w:p>
    <w:p w14:paraId="42A1CC63" w14:textId="48FE9EDD" w:rsidR="00727015" w:rsidRPr="001444AD" w:rsidRDefault="00727015" w:rsidP="001444AD">
      <w:pPr>
        <w:spacing w:line="240" w:lineRule="auto"/>
        <w:rPr>
          <w:rFonts w:ascii="Open Sans" w:eastAsia="Times New Roman" w:hAnsi="Open Sans" w:cs="Open Sans"/>
          <w:color w:val="292929"/>
          <w:kern w:val="0"/>
          <w:sz w:val="20"/>
          <w:szCs w:val="20"/>
          <w:lang w:eastAsia="cs-CZ"/>
          <w14:ligatures w14:val="none"/>
        </w:rPr>
      </w:pPr>
      <w:hyperlink r:id="rId8" w:history="1">
        <w:r w:rsidRPr="00E62EB7">
          <w:rPr>
            <w:rStyle w:val="Hypertextovodkaz"/>
            <w:rFonts w:ascii="Open Sans" w:eastAsia="Times New Roman" w:hAnsi="Open Sans" w:cs="Open Sans"/>
            <w:kern w:val="0"/>
            <w:sz w:val="20"/>
            <w:szCs w:val="20"/>
            <w:lang w:eastAsia="cs-CZ"/>
            <w14:ligatures w14:val="none"/>
          </w:rPr>
          <w:t>https://www.tacr.cz/soutez/program-delta-2/pata-verejna-soutez-5/</w:t>
        </w:r>
      </w:hyperlink>
    </w:p>
    <w:p w14:paraId="2CD95773" w14:textId="30D6C885" w:rsidR="00FA78A0" w:rsidRPr="001444AD" w:rsidRDefault="00FA78A0" w:rsidP="00FA78A0">
      <w:r w:rsidRPr="00FA78A0">
        <w:rPr>
          <w:rFonts w:eastAsia="Times New Roman" w:cstheme="minorHAnsi"/>
          <w:color w:val="292929"/>
          <w:kern w:val="0"/>
          <w:lang w:eastAsia="cs-CZ"/>
          <w14:ligatures w14:val="none"/>
        </w:rPr>
        <w:t xml:space="preserve">Soutěž je zaměřena na </w:t>
      </w:r>
      <w:r w:rsidRPr="00FA78A0">
        <w:rPr>
          <w:rFonts w:cstheme="minorHAnsi"/>
        </w:rPr>
        <w:t>podporu mezinárodní spolupráce</w:t>
      </w:r>
      <w:r>
        <w:t xml:space="preserve"> v oblasti aplikovaného výzkumu prostřednictvím společných projektů českých subjektů podporovaných TA ČR a zahraničních partnerů s předpokládanou podporou zahraničních institucí.</w:t>
      </w:r>
    </w:p>
    <w:p w14:paraId="5CD117E1" w14:textId="1F224760" w:rsidR="00FA78A0" w:rsidRDefault="00FA78A0">
      <w:r>
        <w:t>Projektu se spolu s českým uchazečem musí účastnit vždy minimálně jeden zahraniční partner z lokality, v níž sídlí partnerská zahraniční organizace</w:t>
      </w:r>
      <w:r w:rsidR="001444AD">
        <w:t xml:space="preserve"> (tzn. Jižní Korea, SRN – Sasko, USA, Izrael, Taiwan) </w:t>
      </w:r>
    </w:p>
    <w:p w14:paraId="452D1092" w14:textId="77777777" w:rsidR="00FA78A0" w:rsidRDefault="00FA78A0">
      <w:r>
        <w:t xml:space="preserve">TA ČR může podpořit návrh projektu pouze v případě, že návrh projektu bude podpořen také jednou ze zahraničních organizací: </w:t>
      </w:r>
    </w:p>
    <w:p w14:paraId="3EE32B0C" w14:textId="2BF73983" w:rsidR="001E07C9" w:rsidRP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r w:rsidRPr="001E07C9">
        <w:t xml:space="preserve">Korea Institute </w:t>
      </w:r>
      <w:proofErr w:type="spellStart"/>
      <w:r w:rsidRPr="001E07C9">
        <w:t>of</w:t>
      </w:r>
      <w:proofErr w:type="spellEnd"/>
      <w:r w:rsidRPr="001E07C9">
        <w:t xml:space="preserve"> </w:t>
      </w:r>
      <w:proofErr w:type="spellStart"/>
      <w:r w:rsidRPr="001E07C9">
        <w:t>Energy</w:t>
      </w:r>
      <w:proofErr w:type="spellEnd"/>
      <w:r w:rsidRPr="001E07C9">
        <w:t xml:space="preserve"> Technology </w:t>
      </w:r>
      <w:proofErr w:type="spellStart"/>
      <w:r w:rsidRPr="001E07C9">
        <w:t>Evaluation</w:t>
      </w:r>
      <w:proofErr w:type="spellEnd"/>
      <w:r w:rsidRPr="001E07C9">
        <w:t xml:space="preserve"> and </w:t>
      </w:r>
      <w:proofErr w:type="spellStart"/>
      <w:r w:rsidRPr="001E07C9">
        <w:t>Planning</w:t>
      </w:r>
      <w:proofErr w:type="spellEnd"/>
      <w:r w:rsidRPr="001E07C9">
        <w:t xml:space="preserve"> (KETEP),</w:t>
      </w:r>
      <w:r w:rsidRPr="001E07C9">
        <w:rPr>
          <w:b/>
          <w:bCs/>
        </w:rPr>
        <w:t xml:space="preserve"> Korejská republika</w:t>
      </w:r>
    </w:p>
    <w:p w14:paraId="3C6B7F14" w14:textId="02F6E927" w:rsidR="001E07C9" w:rsidRP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1E07C9">
        <w:t>Saxon</w:t>
      </w:r>
      <w:proofErr w:type="spellEnd"/>
      <w:r w:rsidRPr="001E07C9">
        <w:t xml:space="preserve"> </w:t>
      </w:r>
      <w:proofErr w:type="spellStart"/>
      <w:r w:rsidRPr="001E07C9">
        <w:t>State</w:t>
      </w:r>
      <w:proofErr w:type="spellEnd"/>
      <w:r w:rsidRPr="001E07C9">
        <w:t xml:space="preserve"> Ministry </w:t>
      </w:r>
      <w:proofErr w:type="spellStart"/>
      <w:r w:rsidRPr="001E07C9">
        <w:t>for</w:t>
      </w:r>
      <w:proofErr w:type="spellEnd"/>
      <w:r w:rsidRPr="001E07C9">
        <w:t xml:space="preserve"> </w:t>
      </w:r>
      <w:proofErr w:type="spellStart"/>
      <w:r w:rsidRPr="001E07C9">
        <w:t>Economic</w:t>
      </w:r>
      <w:proofErr w:type="spellEnd"/>
      <w:r w:rsidRPr="001E07C9">
        <w:t xml:space="preserve"> </w:t>
      </w:r>
      <w:proofErr w:type="spellStart"/>
      <w:r w:rsidRPr="001E07C9">
        <w:t>Affairs</w:t>
      </w:r>
      <w:proofErr w:type="spellEnd"/>
      <w:r w:rsidRPr="001E07C9">
        <w:t xml:space="preserve">, </w:t>
      </w:r>
      <w:proofErr w:type="spellStart"/>
      <w:r w:rsidRPr="001E07C9">
        <w:t>Labour</w:t>
      </w:r>
      <w:proofErr w:type="spellEnd"/>
      <w:r w:rsidRPr="001E07C9">
        <w:t xml:space="preserve"> and Transport (SMWA),</w:t>
      </w:r>
      <w:r w:rsidRPr="001E07C9">
        <w:rPr>
          <w:b/>
          <w:bCs/>
        </w:rPr>
        <w:t xml:space="preserve"> Sasko, Spolková republika Německo</w:t>
      </w:r>
    </w:p>
    <w:p w14:paraId="3748088C" w14:textId="617CBFEB" w:rsidR="001E07C9" w:rsidRP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r w:rsidRPr="001E07C9">
        <w:t xml:space="preserve">Department </w:t>
      </w:r>
      <w:proofErr w:type="spellStart"/>
      <w:r w:rsidRPr="001E07C9">
        <w:t>of</w:t>
      </w:r>
      <w:proofErr w:type="spellEnd"/>
      <w:r w:rsidRPr="001E07C9">
        <w:t xml:space="preserve"> </w:t>
      </w:r>
      <w:proofErr w:type="spellStart"/>
      <w:r w:rsidRPr="001E07C9">
        <w:t>Energy</w:t>
      </w:r>
      <w:proofErr w:type="spellEnd"/>
      <w:r w:rsidRPr="001E07C9">
        <w:t xml:space="preserve"> </w:t>
      </w:r>
      <w:proofErr w:type="spellStart"/>
      <w:r w:rsidRPr="001E07C9">
        <w:t>of</w:t>
      </w:r>
      <w:proofErr w:type="spellEnd"/>
      <w:r w:rsidRPr="001E07C9">
        <w:t xml:space="preserve"> </w:t>
      </w:r>
      <w:proofErr w:type="spellStart"/>
      <w:r w:rsidRPr="001E07C9">
        <w:t>the</w:t>
      </w:r>
      <w:proofErr w:type="spellEnd"/>
      <w:r w:rsidRPr="001E07C9">
        <w:t xml:space="preserve"> United </w:t>
      </w:r>
      <w:proofErr w:type="spellStart"/>
      <w:r w:rsidRPr="001E07C9">
        <w:t>States</w:t>
      </w:r>
      <w:proofErr w:type="spellEnd"/>
      <w:r w:rsidRPr="001E07C9">
        <w:t xml:space="preserve"> </w:t>
      </w:r>
      <w:proofErr w:type="spellStart"/>
      <w:r w:rsidRPr="001E07C9">
        <w:t>of</w:t>
      </w:r>
      <w:proofErr w:type="spellEnd"/>
      <w:r w:rsidRPr="001E07C9">
        <w:t xml:space="preserve"> America (DOE), </w:t>
      </w:r>
      <w:r w:rsidRPr="001E07C9">
        <w:rPr>
          <w:b/>
          <w:bCs/>
        </w:rPr>
        <w:t xml:space="preserve">Spojené státy americké </w:t>
      </w:r>
    </w:p>
    <w:p w14:paraId="340FEDC4" w14:textId="77777777" w:rsidR="001E07C9" w:rsidRP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1E07C9">
        <w:t>Israel</w:t>
      </w:r>
      <w:proofErr w:type="spellEnd"/>
      <w:r w:rsidRPr="001E07C9">
        <w:t xml:space="preserve"> Innovation </w:t>
      </w:r>
      <w:proofErr w:type="spellStart"/>
      <w:r w:rsidRPr="001E07C9">
        <w:t>Authority</w:t>
      </w:r>
      <w:proofErr w:type="spellEnd"/>
      <w:r w:rsidRPr="001E07C9">
        <w:t xml:space="preserve"> (IIA),</w:t>
      </w:r>
      <w:r w:rsidRPr="001E07C9">
        <w:rPr>
          <w:b/>
          <w:bCs/>
        </w:rPr>
        <w:t xml:space="preserve"> Stát Izrael </w:t>
      </w:r>
    </w:p>
    <w:p w14:paraId="2ECAED57" w14:textId="6030328B" w:rsid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r w:rsidRPr="001E07C9">
        <w:t xml:space="preserve">Ministry </w:t>
      </w:r>
      <w:proofErr w:type="spellStart"/>
      <w:r w:rsidRPr="001E07C9">
        <w:t>of</w:t>
      </w:r>
      <w:proofErr w:type="spellEnd"/>
      <w:r w:rsidRPr="001E07C9">
        <w:t xml:space="preserve"> </w:t>
      </w:r>
      <w:proofErr w:type="spellStart"/>
      <w:r w:rsidRPr="001E07C9">
        <w:t>Economic</w:t>
      </w:r>
      <w:proofErr w:type="spellEnd"/>
      <w:r w:rsidRPr="001E07C9">
        <w:t xml:space="preserve"> </w:t>
      </w:r>
      <w:proofErr w:type="spellStart"/>
      <w:r w:rsidRPr="001E07C9">
        <w:t>Affairs</w:t>
      </w:r>
      <w:proofErr w:type="spellEnd"/>
      <w:r w:rsidRPr="001E07C9">
        <w:t xml:space="preserve"> (</w:t>
      </w:r>
      <w:proofErr w:type="spellStart"/>
      <w:r w:rsidRPr="001E07C9">
        <w:t>MoEA</w:t>
      </w:r>
      <w:proofErr w:type="spellEnd"/>
      <w:r w:rsidRPr="001E07C9">
        <w:t>), Tchaj-wan; implementační organizace:</w:t>
      </w:r>
      <w:r w:rsidRPr="001E07C9">
        <w:rPr>
          <w:b/>
          <w:bCs/>
        </w:rPr>
        <w:t xml:space="preserve"> </w:t>
      </w:r>
      <w:proofErr w:type="spellStart"/>
      <w:r w:rsidRPr="001E07C9">
        <w:rPr>
          <w:b/>
          <w:bCs/>
        </w:rPr>
        <w:t>Industrial</w:t>
      </w:r>
      <w:proofErr w:type="spellEnd"/>
      <w:r w:rsidRPr="001E07C9">
        <w:rPr>
          <w:b/>
          <w:bCs/>
        </w:rPr>
        <w:t xml:space="preserve"> Technology </w:t>
      </w:r>
      <w:proofErr w:type="spellStart"/>
      <w:r w:rsidRPr="001E07C9">
        <w:rPr>
          <w:b/>
          <w:bCs/>
        </w:rPr>
        <w:t>Research</w:t>
      </w:r>
      <w:proofErr w:type="spellEnd"/>
      <w:r w:rsidRPr="001E07C9">
        <w:rPr>
          <w:b/>
          <w:bCs/>
        </w:rPr>
        <w:t xml:space="preserve"> Institute (ITRI), Tchaj-wan </w:t>
      </w:r>
    </w:p>
    <w:p w14:paraId="0F01B4D2" w14:textId="7ECB05A4" w:rsidR="001E07C9" w:rsidRPr="001E07C9" w:rsidRDefault="001E07C9" w:rsidP="001E07C9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t>National</w:t>
      </w:r>
      <w:proofErr w:type="spellEnd"/>
      <w:r>
        <w:t xml:space="preserve"> Science and Technology </w:t>
      </w:r>
      <w:proofErr w:type="spellStart"/>
      <w:r>
        <w:t>Council</w:t>
      </w:r>
      <w:proofErr w:type="spellEnd"/>
      <w:r>
        <w:t xml:space="preserve"> (NSTC), </w:t>
      </w:r>
      <w:r w:rsidRPr="001E07C9">
        <w:rPr>
          <w:b/>
          <w:bCs/>
        </w:rPr>
        <w:t>Tchaj-wan</w:t>
      </w:r>
    </w:p>
    <w:p w14:paraId="61E3C0B3" w14:textId="2ECAA28E" w:rsidR="00FA78A0" w:rsidRDefault="003778F6">
      <w:r>
        <w:t>Návrh projektu se předkládá v </w:t>
      </w:r>
      <w:r w:rsidR="00FA78A0">
        <w:t>angličtině</w:t>
      </w:r>
      <w:r>
        <w:t>.</w:t>
      </w:r>
    </w:p>
    <w:p w14:paraId="100C1289" w14:textId="3302DCF1" w:rsidR="00DD2E3D" w:rsidRDefault="00DD2E3D">
      <w:r>
        <w:t>Zahraniční partner musí předložit komplementární návrh projektu jedné z uvedených zahraničních organizací. Návrh projektu uchazečů na české straně bude podpořen TA ČR pouze za předpokladu, že komplementární návrh projektu zahraničních partnerů bude současně schválen zahraniční organizací.</w:t>
      </w:r>
      <w:r w:rsidRPr="00DD2E3D">
        <w:t xml:space="preserve"> </w:t>
      </w:r>
      <w:r>
        <w:t>TA ČR poskytuje podporu pouze české části konsorcia. Zahraniční partneři jsou financováni zahraničními zdroji. Program není tematicky zaměřen, výběr témat je určen s každou zahraniční organizací samostatně</w:t>
      </w:r>
      <w:r w:rsidR="001444AD">
        <w:t>.</w:t>
      </w:r>
    </w:p>
    <w:p w14:paraId="1ACD6C61" w14:textId="02C48A69" w:rsidR="00262B7F" w:rsidRPr="00E714C7" w:rsidRDefault="00262B7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Podmínky a zaměření jsou různé v závislosti na podmínkách jednotlivých výše zmíněných zahraničních organizací. </w:t>
      </w:r>
    </w:p>
    <w:p w14:paraId="7AF5C2B6" w14:textId="6B216393" w:rsidR="00FF34E7" w:rsidRPr="00117729" w:rsidRDefault="00FF6659" w:rsidP="00117729">
      <w:pPr>
        <w:rPr>
          <w:b/>
          <w:bCs/>
        </w:rPr>
      </w:pPr>
      <w:r w:rsidRPr="00FF6659">
        <w:rPr>
          <w:b/>
          <w:bCs/>
        </w:rPr>
        <w:t>Hlavním uchazečem může být pouze podnik</w:t>
      </w:r>
      <w:r>
        <w:t xml:space="preserve">, který </w:t>
      </w:r>
      <w:proofErr w:type="gramStart"/>
      <w:r>
        <w:t>řeší</w:t>
      </w:r>
      <w:proofErr w:type="gramEnd"/>
      <w:r>
        <w:t xml:space="preserve"> projekt samostatně, a/nebo řeší projekt ve spolupráci s dalšími podniky a/nebo ve </w:t>
      </w:r>
      <w:r w:rsidRPr="00FF6659">
        <w:rPr>
          <w:b/>
          <w:bCs/>
        </w:rPr>
        <w:t>spolupráci s výzkumnými organizacemi</w:t>
      </w:r>
      <w:r w:rsidR="001444AD">
        <w:rPr>
          <w:b/>
          <w:bCs/>
        </w:rPr>
        <w:t>.</w:t>
      </w:r>
    </w:p>
    <w:sectPr w:rsidR="00FF34E7" w:rsidRPr="0011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9B8"/>
    <w:multiLevelType w:val="hybridMultilevel"/>
    <w:tmpl w:val="BC1E5B1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655634"/>
    <w:multiLevelType w:val="hybridMultilevel"/>
    <w:tmpl w:val="BC1E5B14"/>
    <w:lvl w:ilvl="0" w:tplc="9516E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321867">
    <w:abstractNumId w:val="1"/>
  </w:num>
  <w:num w:numId="2" w16cid:durableId="154844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0"/>
    <w:rsid w:val="00064D47"/>
    <w:rsid w:val="00117729"/>
    <w:rsid w:val="001444AD"/>
    <w:rsid w:val="001737D0"/>
    <w:rsid w:val="00185E75"/>
    <w:rsid w:val="001E07C9"/>
    <w:rsid w:val="001F0B38"/>
    <w:rsid w:val="00262B7F"/>
    <w:rsid w:val="003778F6"/>
    <w:rsid w:val="005E2AA1"/>
    <w:rsid w:val="00727015"/>
    <w:rsid w:val="00A8770D"/>
    <w:rsid w:val="00BE7B28"/>
    <w:rsid w:val="00D4068A"/>
    <w:rsid w:val="00D82832"/>
    <w:rsid w:val="00DD2E3D"/>
    <w:rsid w:val="00E379AE"/>
    <w:rsid w:val="00E714C7"/>
    <w:rsid w:val="00F74974"/>
    <w:rsid w:val="00F74D76"/>
    <w:rsid w:val="00FA78A0"/>
    <w:rsid w:val="00FF34E7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B860"/>
  <w15:chartTrackingRefBased/>
  <w15:docId w15:val="{E6612491-5E91-423E-909D-C5D01EC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7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4D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4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07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E7B2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F3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F34E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FF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771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r.cz/soutez/program-delta-2/pata-verejna-soutez-5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a.ta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E6DE-5A58-433F-9599-C9B1882E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Máchalová  Zemanová Kateřina Mgr.</dc:creator>
  <cp:keywords/>
  <dc:description/>
  <cp:lastModifiedBy>Máchalová  Zemanová Kateřina Mgr.</cp:lastModifiedBy>
  <cp:revision>4</cp:revision>
  <dcterms:created xsi:type="dcterms:W3CDTF">2023-05-19T10:24:00Z</dcterms:created>
  <dcterms:modified xsi:type="dcterms:W3CDTF">2023-05-19T10:32:00Z</dcterms:modified>
</cp:coreProperties>
</file>