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229B5" w14:textId="6F7421A4" w:rsidR="00A92790" w:rsidRPr="009D057A" w:rsidRDefault="00CE0E88" w:rsidP="00A43094">
      <w:pPr>
        <w:spacing w:line="276" w:lineRule="auto"/>
        <w:jc w:val="center"/>
        <w:outlineLvl w:val="0"/>
        <w:rPr>
          <w:rFonts w:ascii="Clara Sans" w:hAnsi="Clara Sans" w:cs="Calibri,Bold"/>
          <w:b/>
          <w:bCs/>
          <w:sz w:val="28"/>
          <w:szCs w:val="28"/>
          <w:lang w:val="en-GB"/>
        </w:rPr>
      </w:pPr>
      <w:r w:rsidRPr="00CE0E88">
        <w:rPr>
          <w:rFonts w:ascii="Clara Sans" w:hAnsi="Clara Sans" w:cs="Calibri,Bold"/>
          <w:b/>
          <w:bCs/>
          <w:sz w:val="28"/>
          <w:szCs w:val="28"/>
          <w:lang w:val="en-GB"/>
        </w:rPr>
        <w:t xml:space="preserve">Methodological guideline </w:t>
      </w:r>
      <w:r w:rsidR="00130805" w:rsidRPr="009D057A">
        <w:rPr>
          <w:rFonts w:ascii="Clara Sans" w:hAnsi="Clara Sans" w:cs="Calibri,Bold"/>
          <w:b/>
          <w:bCs/>
          <w:sz w:val="28"/>
          <w:szCs w:val="28"/>
          <w:lang w:val="en-GB"/>
        </w:rPr>
        <w:t xml:space="preserve">of the Faculty of Science </w:t>
      </w:r>
      <w:r w:rsidR="009D057A" w:rsidRPr="009D057A">
        <w:rPr>
          <w:rFonts w:ascii="Clara Sans" w:hAnsi="Clara Sans" w:cs="Calibri,Bold"/>
          <w:b/>
          <w:bCs/>
          <w:sz w:val="28"/>
          <w:szCs w:val="28"/>
          <w:lang w:val="en-GB"/>
        </w:rPr>
        <w:t>to</w:t>
      </w:r>
      <w:r w:rsidR="00130805" w:rsidRPr="009D057A">
        <w:rPr>
          <w:rFonts w:ascii="Clara Sans" w:hAnsi="Clara Sans" w:cs="Calibri,Bold"/>
          <w:b/>
          <w:bCs/>
          <w:sz w:val="28"/>
          <w:szCs w:val="28"/>
          <w:lang w:val="en-GB"/>
        </w:rPr>
        <w:t xml:space="preserve"> the </w:t>
      </w:r>
      <w:r w:rsidR="006D75ED">
        <w:rPr>
          <w:rFonts w:ascii="Clara Sans" w:hAnsi="Clara Sans" w:cs="Calibri,Bold"/>
          <w:b/>
          <w:bCs/>
          <w:sz w:val="28"/>
          <w:szCs w:val="28"/>
          <w:lang w:val="en-GB"/>
        </w:rPr>
        <w:t>Salary</w:t>
      </w:r>
      <w:r w:rsidR="00AB7BC3" w:rsidRPr="009D057A">
        <w:rPr>
          <w:rFonts w:ascii="Clara Sans" w:hAnsi="Clara Sans" w:cs="Calibri,Bold"/>
          <w:b/>
          <w:bCs/>
          <w:sz w:val="28"/>
          <w:szCs w:val="28"/>
          <w:lang w:val="en-GB"/>
        </w:rPr>
        <w:t xml:space="preserve"> Regulation</w:t>
      </w:r>
      <w:r w:rsidR="00AB7BC3">
        <w:rPr>
          <w:rFonts w:ascii="Clara Sans" w:hAnsi="Clara Sans" w:cs="Calibri,Bold"/>
          <w:b/>
          <w:bCs/>
          <w:sz w:val="28"/>
          <w:szCs w:val="28"/>
          <w:lang w:val="en-GB"/>
        </w:rPr>
        <w:t>s</w:t>
      </w:r>
      <w:r w:rsidR="00AB7BC3" w:rsidRPr="009D057A">
        <w:rPr>
          <w:rFonts w:ascii="Clara Sans" w:hAnsi="Clara Sans" w:cs="Calibri,Bold"/>
          <w:b/>
          <w:bCs/>
          <w:sz w:val="28"/>
          <w:szCs w:val="28"/>
          <w:lang w:val="en-GB"/>
        </w:rPr>
        <w:t xml:space="preserve"> </w:t>
      </w:r>
      <w:r w:rsidR="00AB7BC3">
        <w:rPr>
          <w:rFonts w:ascii="Clara Sans" w:hAnsi="Clara Sans" w:cs="Calibri,Bold"/>
          <w:b/>
          <w:bCs/>
          <w:sz w:val="28"/>
          <w:szCs w:val="28"/>
          <w:lang w:val="en-GB"/>
        </w:rPr>
        <w:t xml:space="preserve">of the </w:t>
      </w:r>
      <w:r w:rsidR="00130805" w:rsidRPr="009D057A">
        <w:rPr>
          <w:rFonts w:ascii="Clara Sans" w:hAnsi="Clara Sans" w:cs="Calibri,Bold"/>
          <w:b/>
          <w:bCs/>
          <w:sz w:val="28"/>
          <w:szCs w:val="28"/>
          <w:lang w:val="en-GB"/>
        </w:rPr>
        <w:t xml:space="preserve">USB setting out the principles of negotiating contractual </w:t>
      </w:r>
      <w:r w:rsidR="00B11D1C">
        <w:rPr>
          <w:rFonts w:ascii="Clara Sans" w:hAnsi="Clara Sans" w:cs="Calibri,Bold"/>
          <w:b/>
          <w:bCs/>
          <w:sz w:val="28"/>
          <w:szCs w:val="28"/>
          <w:lang w:val="en-GB"/>
        </w:rPr>
        <w:t>salary</w:t>
      </w:r>
      <w:r w:rsidR="00130805" w:rsidRPr="009D057A">
        <w:rPr>
          <w:rFonts w:ascii="Clara Sans" w:hAnsi="Clara Sans" w:cs="Calibri,Bold"/>
          <w:b/>
          <w:bCs/>
          <w:sz w:val="28"/>
          <w:szCs w:val="28"/>
          <w:lang w:val="en-GB"/>
        </w:rPr>
        <w:t xml:space="preserve"> with employees successful in highly competitive grant competitions</w:t>
      </w:r>
    </w:p>
    <w:p w14:paraId="2F88BECF" w14:textId="6C1F7C4A" w:rsidR="006E134A" w:rsidRPr="009D057A" w:rsidRDefault="00A43094" w:rsidP="001C4301">
      <w:pPr>
        <w:spacing w:line="276" w:lineRule="auto"/>
        <w:jc w:val="center"/>
        <w:outlineLvl w:val="0"/>
        <w:rPr>
          <w:rFonts w:ascii="Clara Sans" w:hAnsi="Clara Sans" w:cs="Calibri,Bold"/>
          <w:b/>
          <w:bCs/>
          <w:sz w:val="28"/>
          <w:szCs w:val="28"/>
          <w:lang w:val="en-GB"/>
        </w:rPr>
      </w:pPr>
      <w:r w:rsidRPr="009D057A">
        <w:rPr>
          <w:rFonts w:ascii="Clara Sans" w:hAnsi="Clara Sans" w:cs="Calibri,Bold"/>
          <w:b/>
          <w:bCs/>
          <w:sz w:val="28"/>
          <w:szCs w:val="28"/>
          <w:lang w:val="en-GB"/>
        </w:rPr>
        <w:t xml:space="preserve"> as amended on </w:t>
      </w:r>
      <w:r w:rsidR="00D90D95">
        <w:rPr>
          <w:rFonts w:ascii="Clara Sans" w:hAnsi="Clara Sans" w:cs="Calibri,Bold"/>
          <w:b/>
          <w:bCs/>
          <w:sz w:val="28"/>
          <w:szCs w:val="28"/>
          <w:lang w:val="en-GB"/>
        </w:rPr>
        <w:t>4</w:t>
      </w:r>
      <w:r w:rsidR="00D90D95" w:rsidRPr="00D90D95">
        <w:rPr>
          <w:rFonts w:ascii="Clara Sans" w:hAnsi="Clara Sans" w:cs="Calibri,Bold"/>
          <w:b/>
          <w:bCs/>
          <w:sz w:val="28"/>
          <w:szCs w:val="28"/>
          <w:vertAlign w:val="superscript"/>
          <w:lang w:val="en-GB"/>
        </w:rPr>
        <w:t>th</w:t>
      </w:r>
      <w:r w:rsidR="00D90D95">
        <w:rPr>
          <w:rFonts w:ascii="Clara Sans" w:hAnsi="Clara Sans" w:cs="Calibri,Bold"/>
          <w:b/>
          <w:bCs/>
          <w:sz w:val="28"/>
          <w:szCs w:val="28"/>
          <w:lang w:val="en-GB"/>
        </w:rPr>
        <w:t xml:space="preserve"> of November 2025</w:t>
      </w:r>
      <w:r w:rsidRPr="009D057A">
        <w:rPr>
          <w:rFonts w:ascii="Clara Sans" w:hAnsi="Clara Sans" w:cs="Calibri,Bold"/>
          <w:b/>
          <w:bCs/>
          <w:sz w:val="28"/>
          <w:szCs w:val="28"/>
          <w:lang w:val="en-GB"/>
        </w:rPr>
        <w:t xml:space="preserve"> </w:t>
      </w:r>
    </w:p>
    <w:p w14:paraId="75C7A6DC" w14:textId="77777777" w:rsidR="001C4301" w:rsidRPr="009D057A" w:rsidRDefault="001C4301" w:rsidP="001C4301">
      <w:pPr>
        <w:spacing w:line="276" w:lineRule="auto"/>
        <w:outlineLvl w:val="0"/>
        <w:rPr>
          <w:rFonts w:ascii="Clara Sans" w:hAnsi="Clara Sans" w:cs="Calibri,Bold"/>
          <w:b/>
          <w:bCs/>
          <w:sz w:val="32"/>
          <w:szCs w:val="32"/>
          <w:lang w:val="en-GB"/>
        </w:rPr>
      </w:pPr>
    </w:p>
    <w:p w14:paraId="2C0CD288" w14:textId="77777777" w:rsidR="00A43094" w:rsidRPr="009D057A" w:rsidRDefault="00A43094" w:rsidP="00A43094">
      <w:pPr>
        <w:spacing w:before="120" w:after="240" w:line="276" w:lineRule="auto"/>
        <w:jc w:val="center"/>
        <w:rPr>
          <w:rFonts w:ascii="Clara Sans" w:hAnsi="Clara Sans"/>
          <w:lang w:val="en-GB"/>
        </w:rPr>
      </w:pPr>
      <w:r w:rsidRPr="009D057A">
        <w:rPr>
          <w:rFonts w:ascii="Clara Sans" w:hAnsi="Clara Sans"/>
          <w:lang w:val="en-GB"/>
        </w:rPr>
        <w:t>Article I</w:t>
      </w:r>
    </w:p>
    <w:p w14:paraId="02F58241" w14:textId="77777777" w:rsidR="006E134A" w:rsidRPr="009D057A" w:rsidRDefault="006E134A" w:rsidP="006E134A">
      <w:pPr>
        <w:autoSpaceDE w:val="0"/>
        <w:autoSpaceDN w:val="0"/>
        <w:adjustRightInd w:val="0"/>
        <w:spacing w:after="240"/>
        <w:jc w:val="center"/>
        <w:rPr>
          <w:rFonts w:ascii="Clara Sans" w:hAnsi="Clara Sans"/>
          <w:lang w:val="en-GB"/>
        </w:rPr>
      </w:pPr>
      <w:r w:rsidRPr="009D057A">
        <w:rPr>
          <w:rFonts w:ascii="Clara Sans" w:hAnsi="Clara Sans" w:cs="Calibri"/>
          <w:spacing w:val="10"/>
          <w:kern w:val="20"/>
          <w:lang w:val="en-GB"/>
        </w:rPr>
        <w:t>Introductory Provisions</w:t>
      </w:r>
    </w:p>
    <w:p w14:paraId="13C13944" w14:textId="764652F2" w:rsidR="00FF20E4" w:rsidRPr="009D057A" w:rsidRDefault="00FF20E4" w:rsidP="00FF20E4">
      <w:pPr>
        <w:autoSpaceDE w:val="0"/>
        <w:autoSpaceDN w:val="0"/>
        <w:adjustRightInd w:val="0"/>
        <w:spacing w:after="240"/>
        <w:jc w:val="both"/>
        <w:rPr>
          <w:rFonts w:ascii="Clara Sans" w:hAnsi="Clara Sans" w:cs="Calibri"/>
          <w:spacing w:val="10"/>
          <w:kern w:val="20"/>
          <w:lang w:val="en-GB"/>
        </w:rPr>
      </w:pPr>
      <w:r w:rsidRPr="009D057A">
        <w:rPr>
          <w:rFonts w:ascii="Clara Sans" w:hAnsi="Clara Sans" w:cs="Calibri"/>
          <w:spacing w:val="10"/>
          <w:kern w:val="20"/>
          <w:lang w:val="en-GB"/>
        </w:rPr>
        <w:t>In the case of highly competitive, prestigious and demanding grant competitions, such as ERC, GAČR JUNIOR STAR, GAČR EXPRO, etc., successful investigators (</w:t>
      </w:r>
      <w:r w:rsidR="00AB7BC3">
        <w:rPr>
          <w:rFonts w:ascii="Clara Sans" w:hAnsi="Clara Sans" w:cs="Calibri"/>
          <w:spacing w:val="10"/>
          <w:kern w:val="20"/>
          <w:lang w:val="en-GB"/>
        </w:rPr>
        <w:t>further on</w:t>
      </w:r>
      <w:r w:rsidR="00AB7BC3" w:rsidRPr="009D057A">
        <w:rPr>
          <w:rFonts w:ascii="Clara Sans" w:hAnsi="Clara Sans" w:cs="Calibri"/>
          <w:spacing w:val="10"/>
          <w:kern w:val="20"/>
          <w:lang w:val="en-GB"/>
        </w:rPr>
        <w:t xml:space="preserve"> </w:t>
      </w:r>
      <w:r w:rsidRPr="009D057A">
        <w:rPr>
          <w:rFonts w:ascii="Clara Sans" w:hAnsi="Clara Sans" w:cs="Calibri"/>
          <w:spacing w:val="10"/>
          <w:kern w:val="20"/>
          <w:lang w:val="en-GB"/>
        </w:rPr>
        <w:t xml:space="preserve">referred to as "employees") and their </w:t>
      </w:r>
      <w:r w:rsidR="006D75ED">
        <w:rPr>
          <w:rFonts w:ascii="Clara Sans" w:hAnsi="Clara Sans" w:cs="Calibri"/>
          <w:spacing w:val="10"/>
          <w:kern w:val="20"/>
          <w:lang w:val="en-GB"/>
        </w:rPr>
        <w:t>salary</w:t>
      </w:r>
      <w:r w:rsidRPr="009D057A">
        <w:rPr>
          <w:rFonts w:ascii="Clara Sans" w:hAnsi="Clara Sans" w:cs="Calibri"/>
          <w:spacing w:val="10"/>
          <w:kern w:val="20"/>
          <w:lang w:val="en-GB"/>
        </w:rPr>
        <w:t xml:space="preserve"> cannot be compared only within the University of South Bohemia in České Budějovice (</w:t>
      </w:r>
      <w:r w:rsidR="00AB7BC3">
        <w:rPr>
          <w:rFonts w:ascii="Clara Sans" w:hAnsi="Clara Sans" w:cs="Calibri"/>
          <w:spacing w:val="10"/>
          <w:kern w:val="20"/>
          <w:lang w:val="en-GB"/>
        </w:rPr>
        <w:t>further on</w:t>
      </w:r>
      <w:r w:rsidR="00AB7BC3" w:rsidRPr="009D057A">
        <w:rPr>
          <w:rFonts w:ascii="Clara Sans" w:hAnsi="Clara Sans" w:cs="Calibri"/>
          <w:spacing w:val="10"/>
          <w:kern w:val="20"/>
          <w:lang w:val="en-GB"/>
        </w:rPr>
        <w:t xml:space="preserve"> </w:t>
      </w:r>
      <w:r w:rsidRPr="009D057A">
        <w:rPr>
          <w:rFonts w:ascii="Clara Sans" w:hAnsi="Clara Sans" w:cs="Calibri"/>
          <w:spacing w:val="10"/>
          <w:kern w:val="20"/>
          <w:lang w:val="en-GB"/>
        </w:rPr>
        <w:t xml:space="preserve">referred to as "USB"), but it is necessary to compare them throughout the </w:t>
      </w:r>
      <w:r w:rsidR="007B27EB" w:rsidRPr="007B27EB">
        <w:rPr>
          <w:rFonts w:ascii="Clara Sans" w:hAnsi="Clara Sans" w:cs="Calibri"/>
          <w:spacing w:val="10"/>
          <w:kern w:val="20"/>
          <w:lang w:val="en-GB"/>
        </w:rPr>
        <w:t xml:space="preserve">research environment and the corresponding labour market of the Czech Republic and </w:t>
      </w:r>
      <w:r w:rsidR="007B27EB">
        <w:rPr>
          <w:rFonts w:ascii="Clara Sans" w:hAnsi="Clara Sans" w:cs="Calibri"/>
          <w:spacing w:val="10"/>
          <w:kern w:val="20"/>
          <w:lang w:val="en-GB"/>
        </w:rPr>
        <w:t xml:space="preserve">foreign </w:t>
      </w:r>
      <w:r w:rsidR="007B27EB" w:rsidRPr="007B27EB">
        <w:rPr>
          <w:rFonts w:ascii="Clara Sans" w:hAnsi="Clara Sans" w:cs="Calibri"/>
          <w:spacing w:val="10"/>
          <w:kern w:val="20"/>
          <w:lang w:val="en-GB"/>
        </w:rPr>
        <w:t>developed econom</w:t>
      </w:r>
      <w:r w:rsidR="00CA0EE2">
        <w:rPr>
          <w:rFonts w:ascii="Clara Sans" w:hAnsi="Clara Sans" w:cs="Calibri"/>
          <w:spacing w:val="10"/>
          <w:kern w:val="20"/>
          <w:lang w:val="en-GB"/>
        </w:rPr>
        <w:t>ics</w:t>
      </w:r>
      <w:r w:rsidR="007B27EB" w:rsidRPr="007B27EB">
        <w:rPr>
          <w:rFonts w:ascii="Clara Sans" w:hAnsi="Clara Sans" w:cs="Calibri"/>
          <w:spacing w:val="10"/>
          <w:kern w:val="20"/>
          <w:lang w:val="en-GB"/>
        </w:rPr>
        <w:t xml:space="preserve"> </w:t>
      </w:r>
      <w:r w:rsidRPr="009D057A">
        <w:rPr>
          <w:rFonts w:ascii="Clara Sans" w:hAnsi="Clara Sans" w:cs="Calibri"/>
          <w:spacing w:val="10"/>
          <w:kern w:val="20"/>
          <w:lang w:val="en-GB"/>
        </w:rPr>
        <w:t>and create adequate conditions for them.</w:t>
      </w:r>
    </w:p>
    <w:p w14:paraId="1F9298BC" w14:textId="6724256D" w:rsidR="004136C6" w:rsidRPr="009D057A" w:rsidRDefault="006E134A" w:rsidP="004F016B">
      <w:pPr>
        <w:autoSpaceDE w:val="0"/>
        <w:autoSpaceDN w:val="0"/>
        <w:adjustRightInd w:val="0"/>
        <w:spacing w:after="240"/>
        <w:jc w:val="both"/>
        <w:rPr>
          <w:rFonts w:ascii="Clara Sans" w:hAnsi="Clara Sans" w:cs="Calibri"/>
          <w:spacing w:val="10"/>
          <w:kern w:val="20"/>
          <w:lang w:val="en-GB"/>
        </w:rPr>
      </w:pPr>
      <w:r w:rsidRPr="009D057A">
        <w:rPr>
          <w:rFonts w:ascii="Clara Sans" w:hAnsi="Clara Sans" w:cs="Calibri"/>
          <w:spacing w:val="10"/>
          <w:kern w:val="20"/>
          <w:lang w:val="en-GB"/>
        </w:rPr>
        <w:t>This methodology is issued by the Faculty of Science</w:t>
      </w:r>
      <w:r w:rsidR="00F26610">
        <w:rPr>
          <w:rFonts w:ascii="Clara Sans" w:hAnsi="Clara Sans" w:cs="Calibri"/>
          <w:spacing w:val="10"/>
          <w:kern w:val="20"/>
          <w:lang w:val="en-GB"/>
        </w:rPr>
        <w:t>,</w:t>
      </w:r>
      <w:r w:rsidRPr="009D057A">
        <w:rPr>
          <w:rFonts w:ascii="Clara Sans" w:hAnsi="Clara Sans" w:cs="Calibri"/>
          <w:spacing w:val="10"/>
          <w:kern w:val="20"/>
          <w:lang w:val="en-GB"/>
        </w:rPr>
        <w:t xml:space="preserve"> USB (</w:t>
      </w:r>
      <w:r w:rsidR="00F26610">
        <w:rPr>
          <w:rFonts w:ascii="Clara Sans" w:hAnsi="Clara Sans" w:cs="Calibri"/>
          <w:spacing w:val="10"/>
          <w:kern w:val="20"/>
          <w:lang w:val="en-GB"/>
        </w:rPr>
        <w:t>hereinaft</w:t>
      </w:r>
      <w:r w:rsidR="00AB7BC3">
        <w:rPr>
          <w:rFonts w:ascii="Clara Sans" w:hAnsi="Clara Sans" w:cs="Calibri"/>
          <w:spacing w:val="10"/>
          <w:kern w:val="20"/>
          <w:lang w:val="en-GB"/>
        </w:rPr>
        <w:t xml:space="preserve">er </w:t>
      </w:r>
      <w:r w:rsidRPr="009D057A">
        <w:rPr>
          <w:rFonts w:ascii="Clara Sans" w:hAnsi="Clara Sans" w:cs="Calibri"/>
          <w:spacing w:val="10"/>
          <w:kern w:val="20"/>
          <w:lang w:val="en-GB"/>
        </w:rPr>
        <w:t>referred to as "</w:t>
      </w:r>
      <w:r w:rsidR="00AB7BC3">
        <w:rPr>
          <w:rFonts w:ascii="Clara Sans" w:hAnsi="Clara Sans" w:cs="Calibri"/>
          <w:spacing w:val="10"/>
          <w:kern w:val="20"/>
          <w:lang w:val="en-GB"/>
        </w:rPr>
        <w:t>FSci</w:t>
      </w:r>
      <w:r w:rsidRPr="009D057A">
        <w:rPr>
          <w:rFonts w:ascii="Clara Sans" w:hAnsi="Clara Sans" w:cs="Calibri"/>
          <w:spacing w:val="10"/>
          <w:kern w:val="20"/>
          <w:lang w:val="en-GB"/>
        </w:rPr>
        <w:t xml:space="preserve">") to </w:t>
      </w:r>
      <w:r w:rsidR="00F26610">
        <w:rPr>
          <w:rFonts w:ascii="Clara Sans" w:hAnsi="Clara Sans" w:cs="Calibri"/>
          <w:spacing w:val="10"/>
          <w:kern w:val="20"/>
          <w:lang w:val="en-GB"/>
        </w:rPr>
        <w:t>establish</w:t>
      </w:r>
      <w:r w:rsidRPr="009D057A">
        <w:rPr>
          <w:rFonts w:ascii="Clara Sans" w:hAnsi="Clara Sans" w:cs="Calibri"/>
          <w:spacing w:val="10"/>
          <w:kern w:val="20"/>
          <w:lang w:val="en-GB"/>
        </w:rPr>
        <w:t xml:space="preserve"> the general principles for negotiating contractual </w:t>
      </w:r>
      <w:r w:rsidR="006D75ED">
        <w:rPr>
          <w:rFonts w:ascii="Clara Sans" w:hAnsi="Clara Sans" w:cs="Calibri"/>
          <w:spacing w:val="10"/>
          <w:kern w:val="20"/>
          <w:lang w:val="en-GB"/>
        </w:rPr>
        <w:t>salary</w:t>
      </w:r>
      <w:r w:rsidRPr="009D057A">
        <w:rPr>
          <w:rFonts w:ascii="Clara Sans" w:hAnsi="Clara Sans" w:cs="Calibri"/>
          <w:spacing w:val="10"/>
          <w:kern w:val="20"/>
          <w:lang w:val="en-GB"/>
        </w:rPr>
        <w:t xml:space="preserve"> with employees. The methodology </w:t>
      </w:r>
      <w:r w:rsidR="00AB7BC3">
        <w:rPr>
          <w:rFonts w:ascii="Clara Sans" w:hAnsi="Clara Sans" w:cs="Calibri"/>
          <w:spacing w:val="10"/>
          <w:kern w:val="20"/>
          <w:lang w:val="en-GB"/>
        </w:rPr>
        <w:t>is</w:t>
      </w:r>
      <w:r w:rsidRPr="009D057A">
        <w:rPr>
          <w:rFonts w:ascii="Clara Sans" w:hAnsi="Clara Sans" w:cs="Calibri"/>
          <w:spacing w:val="10"/>
          <w:kern w:val="20"/>
          <w:lang w:val="en-GB"/>
        </w:rPr>
        <w:t xml:space="preserve"> based on the </w:t>
      </w:r>
      <w:r w:rsidR="006D75ED">
        <w:rPr>
          <w:rFonts w:ascii="Clara Sans" w:hAnsi="Clara Sans" w:cs="Calibri"/>
          <w:spacing w:val="10"/>
          <w:kern w:val="20"/>
          <w:lang w:val="en-GB"/>
        </w:rPr>
        <w:t>Salary</w:t>
      </w:r>
      <w:r w:rsidR="00AB7BC3" w:rsidRPr="00AB7BC3">
        <w:rPr>
          <w:rFonts w:ascii="Clara Sans" w:hAnsi="Clara Sans" w:cs="Calibri"/>
          <w:spacing w:val="10"/>
          <w:kern w:val="20"/>
          <w:lang w:val="en-GB"/>
        </w:rPr>
        <w:t xml:space="preserve"> Regulations of the USB</w:t>
      </w:r>
      <w:r w:rsidR="00F26610">
        <w:rPr>
          <w:rFonts w:ascii="Clara Sans" w:hAnsi="Clara Sans" w:cs="Calibri"/>
          <w:spacing w:val="10"/>
          <w:kern w:val="20"/>
          <w:lang w:val="en-GB"/>
        </w:rPr>
        <w:t>,</w:t>
      </w:r>
      <w:r w:rsidRPr="009D057A">
        <w:rPr>
          <w:rFonts w:ascii="Clara Sans" w:hAnsi="Clara Sans" w:cs="Calibri"/>
          <w:spacing w:val="10"/>
          <w:kern w:val="20"/>
          <w:lang w:val="en-GB"/>
        </w:rPr>
        <w:t xml:space="preserve"> effective from 1 </w:t>
      </w:r>
      <w:r w:rsidR="00F26610">
        <w:rPr>
          <w:rFonts w:ascii="Clara Sans" w:hAnsi="Clara Sans" w:cs="Calibri"/>
          <w:spacing w:val="10"/>
          <w:kern w:val="20"/>
          <w:lang w:val="en-GB"/>
        </w:rPr>
        <w:t>October</w:t>
      </w:r>
      <w:r w:rsidRPr="009D057A">
        <w:rPr>
          <w:rFonts w:ascii="Clara Sans" w:hAnsi="Clara Sans" w:cs="Calibri"/>
          <w:spacing w:val="10"/>
          <w:kern w:val="20"/>
          <w:lang w:val="en-GB"/>
        </w:rPr>
        <w:t xml:space="preserve"> </w:t>
      </w:r>
      <w:r w:rsidR="00F26610">
        <w:rPr>
          <w:rFonts w:ascii="Clara Sans" w:hAnsi="Clara Sans" w:cs="Calibri"/>
          <w:spacing w:val="10"/>
          <w:kern w:val="20"/>
          <w:lang w:val="en-GB"/>
        </w:rPr>
        <w:t>2025</w:t>
      </w:r>
      <w:r w:rsidRPr="009D057A">
        <w:rPr>
          <w:rFonts w:ascii="Clara Sans" w:hAnsi="Clara Sans" w:cs="Calibri"/>
          <w:spacing w:val="10"/>
          <w:kern w:val="20"/>
          <w:lang w:val="en-GB"/>
        </w:rPr>
        <w:t xml:space="preserve">, </w:t>
      </w:r>
      <w:r w:rsidR="00F26610">
        <w:rPr>
          <w:rFonts w:ascii="Clara Sans" w:hAnsi="Clara Sans" w:cs="Calibri"/>
          <w:spacing w:val="10"/>
          <w:kern w:val="20"/>
          <w:lang w:val="en-GB"/>
        </w:rPr>
        <w:t>particular</w:t>
      </w:r>
      <w:r w:rsidRPr="009D057A">
        <w:rPr>
          <w:rFonts w:ascii="Clara Sans" w:hAnsi="Clara Sans" w:cs="Calibri"/>
          <w:spacing w:val="10"/>
          <w:kern w:val="20"/>
          <w:lang w:val="en-GB"/>
        </w:rPr>
        <w:t>ly Article 2</w:t>
      </w:r>
      <w:r w:rsidR="00F26610">
        <w:rPr>
          <w:rFonts w:ascii="Clara Sans" w:hAnsi="Clara Sans" w:cs="Calibri"/>
          <w:spacing w:val="10"/>
          <w:kern w:val="20"/>
          <w:lang w:val="en-GB"/>
        </w:rPr>
        <w:t>, paragraph</w:t>
      </w:r>
      <w:r w:rsidRPr="009D057A">
        <w:rPr>
          <w:rFonts w:ascii="Clara Sans" w:hAnsi="Clara Sans" w:cs="Calibri"/>
          <w:spacing w:val="10"/>
          <w:kern w:val="20"/>
          <w:lang w:val="en-GB"/>
        </w:rPr>
        <w:t xml:space="preserve"> 7.</w:t>
      </w:r>
    </w:p>
    <w:p w14:paraId="59FECC42" w14:textId="77777777" w:rsidR="00530A94" w:rsidRPr="009D057A" w:rsidRDefault="00530A94" w:rsidP="004136C6">
      <w:pPr>
        <w:tabs>
          <w:tab w:val="left" w:pos="7665"/>
        </w:tabs>
        <w:autoSpaceDE w:val="0"/>
        <w:autoSpaceDN w:val="0"/>
        <w:adjustRightInd w:val="0"/>
        <w:spacing w:after="240"/>
        <w:jc w:val="center"/>
        <w:rPr>
          <w:rFonts w:ascii="Clara Sans" w:hAnsi="Clara Sans"/>
          <w:lang w:val="en-GB"/>
        </w:rPr>
      </w:pPr>
    </w:p>
    <w:p w14:paraId="55FA22B7" w14:textId="6C0D6C40" w:rsidR="004136C6" w:rsidRPr="009D057A" w:rsidRDefault="004136C6" w:rsidP="004136C6">
      <w:pPr>
        <w:tabs>
          <w:tab w:val="left" w:pos="7665"/>
        </w:tabs>
        <w:autoSpaceDE w:val="0"/>
        <w:autoSpaceDN w:val="0"/>
        <w:adjustRightInd w:val="0"/>
        <w:spacing w:after="240"/>
        <w:jc w:val="center"/>
        <w:rPr>
          <w:rFonts w:ascii="Clara Sans" w:hAnsi="Clara Sans"/>
          <w:lang w:val="en-GB"/>
        </w:rPr>
      </w:pPr>
      <w:r w:rsidRPr="009D057A">
        <w:rPr>
          <w:rFonts w:ascii="Clara Sans" w:hAnsi="Clara Sans"/>
          <w:lang w:val="en-GB"/>
        </w:rPr>
        <w:t>Article II</w:t>
      </w:r>
    </w:p>
    <w:p w14:paraId="78129CB8" w14:textId="77777777" w:rsidR="004136C6" w:rsidRPr="009D057A" w:rsidRDefault="006E134A" w:rsidP="004136C6">
      <w:pPr>
        <w:tabs>
          <w:tab w:val="left" w:pos="7665"/>
        </w:tabs>
        <w:autoSpaceDE w:val="0"/>
        <w:autoSpaceDN w:val="0"/>
        <w:adjustRightInd w:val="0"/>
        <w:spacing w:after="240"/>
        <w:jc w:val="center"/>
        <w:rPr>
          <w:rFonts w:ascii="Clara Sans" w:hAnsi="Clara Sans"/>
          <w:lang w:val="en-GB"/>
        </w:rPr>
      </w:pPr>
      <w:r w:rsidRPr="009D057A">
        <w:rPr>
          <w:rFonts w:ascii="Clara Sans" w:hAnsi="Clara Sans"/>
          <w:lang w:val="en-GB"/>
        </w:rPr>
        <w:t>Determination of the amount of salary</w:t>
      </w:r>
    </w:p>
    <w:p w14:paraId="7D1341AA" w14:textId="469316B8" w:rsidR="004136C6" w:rsidRPr="009D057A" w:rsidRDefault="006E134A" w:rsidP="004136C6">
      <w:pPr>
        <w:tabs>
          <w:tab w:val="left" w:pos="7665"/>
        </w:tabs>
        <w:autoSpaceDE w:val="0"/>
        <w:autoSpaceDN w:val="0"/>
        <w:adjustRightInd w:val="0"/>
        <w:spacing w:after="240"/>
        <w:jc w:val="both"/>
        <w:rPr>
          <w:rFonts w:ascii="Clara Sans" w:hAnsi="Clara Sans"/>
          <w:lang w:val="en-GB"/>
        </w:rPr>
      </w:pPr>
      <w:r w:rsidRPr="009D057A">
        <w:rPr>
          <w:rFonts w:ascii="Clara Sans" w:hAnsi="Clara Sans"/>
          <w:lang w:val="en-GB"/>
        </w:rPr>
        <w:t>The amount of contractual salary for academic and non-academic staff of the Faculty of Science USB involved in projects obtained in highly competitive, prestigious and demanding grant competitions (</w:t>
      </w:r>
      <w:r w:rsidR="00AB7BC3">
        <w:rPr>
          <w:rFonts w:ascii="Clara Sans" w:hAnsi="Clara Sans" w:cs="Calibri"/>
          <w:spacing w:val="10"/>
          <w:kern w:val="20"/>
          <w:lang w:val="en-GB"/>
        </w:rPr>
        <w:t xml:space="preserve">further </w:t>
      </w:r>
      <w:r w:rsidRPr="009D057A">
        <w:rPr>
          <w:rFonts w:ascii="Clara Sans" w:hAnsi="Clara Sans"/>
          <w:lang w:val="en-GB"/>
        </w:rPr>
        <w:t>referred to as the "</w:t>
      </w:r>
      <w:r w:rsidR="00AB7BC3">
        <w:rPr>
          <w:rFonts w:ascii="Clara Sans" w:hAnsi="Clara Sans"/>
          <w:lang w:val="en-GB"/>
        </w:rPr>
        <w:t>p</w:t>
      </w:r>
      <w:r w:rsidRPr="009D057A">
        <w:rPr>
          <w:rFonts w:ascii="Clara Sans" w:hAnsi="Clara Sans"/>
          <w:lang w:val="en-GB"/>
        </w:rPr>
        <w:t xml:space="preserve">roject") will be negotiated </w:t>
      </w:r>
      <w:r w:rsidR="00AB7BC3" w:rsidRPr="009D057A">
        <w:rPr>
          <w:rFonts w:ascii="Clara Sans" w:hAnsi="Clara Sans"/>
          <w:lang w:val="en-GB"/>
        </w:rPr>
        <w:t>considering</w:t>
      </w:r>
      <w:r w:rsidRPr="009D057A">
        <w:rPr>
          <w:rFonts w:ascii="Clara Sans" w:hAnsi="Clara Sans"/>
          <w:lang w:val="en-GB"/>
        </w:rPr>
        <w:t xml:space="preserve"> the following principles:</w:t>
      </w:r>
    </w:p>
    <w:p w14:paraId="66CB1CA7" w14:textId="02E461B8" w:rsidR="00F46887" w:rsidRPr="009D057A" w:rsidRDefault="001D5298" w:rsidP="00C01F40">
      <w:pPr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Clara Sans" w:hAnsi="Clara Sans"/>
          <w:lang w:val="en-GB"/>
        </w:rPr>
      </w:pPr>
      <w:r w:rsidRPr="009D057A">
        <w:rPr>
          <w:rFonts w:ascii="Clara Sans" w:hAnsi="Clara Sans"/>
          <w:lang w:val="en-GB"/>
        </w:rPr>
        <w:t xml:space="preserve">The contractual </w:t>
      </w:r>
      <w:r w:rsidR="005C0640">
        <w:rPr>
          <w:rFonts w:ascii="Clara Sans" w:hAnsi="Clara Sans"/>
          <w:lang w:val="en-GB"/>
        </w:rPr>
        <w:t>salary</w:t>
      </w:r>
      <w:r w:rsidRPr="009D057A">
        <w:rPr>
          <w:rFonts w:ascii="Clara Sans" w:hAnsi="Clara Sans"/>
          <w:lang w:val="en-GB"/>
        </w:rPr>
        <w:t xml:space="preserve"> will be agreed only for the duration of the project and only for the duration of the working time related to the project.</w:t>
      </w:r>
    </w:p>
    <w:p w14:paraId="1EEB4840" w14:textId="1517F8AA" w:rsidR="00942790" w:rsidRPr="009D057A" w:rsidRDefault="00A02BBC" w:rsidP="004D1ECB">
      <w:pPr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Clara Sans" w:hAnsi="Clara Sans"/>
          <w:lang w:val="en-GB"/>
        </w:rPr>
      </w:pPr>
      <w:r w:rsidRPr="009D057A">
        <w:rPr>
          <w:rFonts w:ascii="Clara Sans" w:hAnsi="Clara Sans"/>
          <w:lang w:val="en-GB"/>
        </w:rPr>
        <w:t xml:space="preserve">The amount of the contractual </w:t>
      </w:r>
      <w:r w:rsidR="005C0640">
        <w:rPr>
          <w:rFonts w:ascii="Clara Sans" w:hAnsi="Clara Sans"/>
          <w:lang w:val="en-GB"/>
        </w:rPr>
        <w:t>salary</w:t>
      </w:r>
      <w:r w:rsidRPr="009D057A">
        <w:rPr>
          <w:rFonts w:ascii="Clara Sans" w:hAnsi="Clara Sans"/>
          <w:lang w:val="en-GB"/>
        </w:rPr>
        <w:t xml:space="preserve"> will be agreed </w:t>
      </w:r>
      <w:r w:rsidR="00F26610">
        <w:rPr>
          <w:rFonts w:ascii="Clara Sans" w:hAnsi="Clara Sans"/>
          <w:lang w:val="en-GB"/>
        </w:rPr>
        <w:t xml:space="preserve">upon </w:t>
      </w:r>
      <w:r w:rsidRPr="009D057A">
        <w:rPr>
          <w:rFonts w:ascii="Clara Sans" w:hAnsi="Clara Sans"/>
          <w:lang w:val="en-GB"/>
        </w:rPr>
        <w:t xml:space="preserve">only </w:t>
      </w:r>
      <w:r w:rsidR="00AB7BC3">
        <w:rPr>
          <w:rFonts w:ascii="Clara Sans" w:hAnsi="Clara Sans"/>
          <w:lang w:val="en-GB"/>
        </w:rPr>
        <w:t>for</w:t>
      </w:r>
      <w:r w:rsidRPr="009D057A">
        <w:rPr>
          <w:rFonts w:ascii="Clara Sans" w:hAnsi="Clara Sans"/>
          <w:lang w:val="en-GB"/>
        </w:rPr>
        <w:t xml:space="preserve"> the work capacity that the employee </w:t>
      </w:r>
      <w:r w:rsidR="00F26610">
        <w:rPr>
          <w:rFonts w:ascii="Clara Sans" w:hAnsi="Clara Sans"/>
          <w:lang w:val="en-GB"/>
        </w:rPr>
        <w:t>contributes to</w:t>
      </w:r>
      <w:r w:rsidRPr="009D057A">
        <w:rPr>
          <w:rFonts w:ascii="Clara Sans" w:hAnsi="Clara Sans"/>
          <w:lang w:val="en-GB"/>
        </w:rPr>
        <w:t xml:space="preserve"> the solution of the relevant project, as determined by the main researcher of the project. The </w:t>
      </w:r>
      <w:r w:rsidR="006D75ED">
        <w:rPr>
          <w:rFonts w:ascii="Clara Sans" w:hAnsi="Clara Sans"/>
          <w:lang w:val="en-GB"/>
        </w:rPr>
        <w:t>salary</w:t>
      </w:r>
      <w:r w:rsidRPr="009D057A">
        <w:rPr>
          <w:rFonts w:ascii="Clara Sans" w:hAnsi="Clara Sans"/>
          <w:lang w:val="en-GB"/>
        </w:rPr>
        <w:t xml:space="preserve"> related to the remaining work capacity of the employee </w:t>
      </w:r>
      <w:r w:rsidR="00F26610">
        <w:rPr>
          <w:rFonts w:ascii="Clara Sans" w:hAnsi="Clara Sans"/>
          <w:lang w:val="en-GB"/>
        </w:rPr>
        <w:t>are</w:t>
      </w:r>
      <w:r w:rsidRPr="009D057A">
        <w:rPr>
          <w:rFonts w:ascii="Clara Sans" w:hAnsi="Clara Sans"/>
          <w:lang w:val="en-GB"/>
        </w:rPr>
        <w:t xml:space="preserve"> governed by the </w:t>
      </w:r>
      <w:r w:rsidR="00AB7BC3">
        <w:rPr>
          <w:rFonts w:ascii="Clara Sans" w:hAnsi="Clara Sans"/>
          <w:lang w:val="en-GB"/>
        </w:rPr>
        <w:t>latest</w:t>
      </w:r>
      <w:r w:rsidRPr="009D057A">
        <w:rPr>
          <w:rFonts w:ascii="Clara Sans" w:hAnsi="Clara Sans"/>
          <w:lang w:val="en-GB"/>
        </w:rPr>
        <w:t xml:space="preserve"> valid </w:t>
      </w:r>
      <w:r w:rsidR="00AB7BC3">
        <w:rPr>
          <w:rFonts w:ascii="Clara Sans" w:hAnsi="Clara Sans"/>
          <w:lang w:val="en-GB"/>
        </w:rPr>
        <w:t>M</w:t>
      </w:r>
      <w:r w:rsidRPr="009D057A">
        <w:rPr>
          <w:rFonts w:ascii="Clara Sans" w:hAnsi="Clara Sans"/>
          <w:lang w:val="en-GB"/>
        </w:rPr>
        <w:t>ethodology of the Faculty of Science</w:t>
      </w:r>
      <w:r w:rsidR="00F26610">
        <w:rPr>
          <w:rFonts w:ascii="Clara Sans" w:hAnsi="Clara Sans"/>
          <w:lang w:val="en-GB"/>
        </w:rPr>
        <w:t>, according</w:t>
      </w:r>
      <w:r w:rsidRPr="009D057A">
        <w:rPr>
          <w:rFonts w:ascii="Clara Sans" w:hAnsi="Clara Sans"/>
          <w:lang w:val="en-GB"/>
        </w:rPr>
        <w:t xml:space="preserve"> </w:t>
      </w:r>
      <w:r w:rsidR="00AB7BC3">
        <w:rPr>
          <w:rFonts w:ascii="Clara Sans" w:hAnsi="Clara Sans"/>
          <w:lang w:val="en-GB"/>
        </w:rPr>
        <w:t>to</w:t>
      </w:r>
      <w:r w:rsidRPr="009D057A">
        <w:rPr>
          <w:rFonts w:ascii="Clara Sans" w:hAnsi="Clara Sans"/>
          <w:lang w:val="en-GB"/>
        </w:rPr>
        <w:t xml:space="preserve"> the </w:t>
      </w:r>
      <w:r w:rsidR="006D75ED">
        <w:rPr>
          <w:rFonts w:ascii="Clara Sans" w:hAnsi="Clara Sans" w:cs="Calibri"/>
          <w:spacing w:val="10"/>
          <w:kern w:val="20"/>
          <w:lang w:val="en-GB"/>
        </w:rPr>
        <w:t>Salary</w:t>
      </w:r>
      <w:r w:rsidR="00AB7BC3" w:rsidRPr="00AB7BC3">
        <w:rPr>
          <w:rFonts w:ascii="Clara Sans" w:hAnsi="Clara Sans" w:cs="Calibri"/>
          <w:spacing w:val="10"/>
          <w:kern w:val="20"/>
          <w:lang w:val="en-GB"/>
        </w:rPr>
        <w:t xml:space="preserve"> Regulations of the USB</w:t>
      </w:r>
      <w:r w:rsidR="00F26610">
        <w:rPr>
          <w:rFonts w:ascii="Clara Sans" w:hAnsi="Clara Sans" w:cs="Calibri"/>
          <w:spacing w:val="10"/>
          <w:kern w:val="20"/>
          <w:lang w:val="en-GB"/>
        </w:rPr>
        <w:t xml:space="preserve"> (WR USB)</w:t>
      </w:r>
      <w:r w:rsidRPr="009D057A">
        <w:rPr>
          <w:rFonts w:ascii="Clara Sans" w:hAnsi="Clara Sans"/>
          <w:lang w:val="en-GB"/>
        </w:rPr>
        <w:t>.</w:t>
      </w:r>
    </w:p>
    <w:p w14:paraId="5FC517B4" w14:textId="783813AF" w:rsidR="00CC0F6C" w:rsidRPr="009D057A" w:rsidRDefault="0073311D">
      <w:pPr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Clara Sans" w:hAnsi="Clara Sans"/>
          <w:lang w:val="en-GB"/>
        </w:rPr>
      </w:pPr>
      <w:r w:rsidRPr="009D057A">
        <w:rPr>
          <w:rFonts w:ascii="Clara Sans" w:hAnsi="Clara Sans" w:cs="Calibri"/>
          <w:spacing w:val="10"/>
          <w:kern w:val="20"/>
          <w:lang w:val="en-GB"/>
        </w:rPr>
        <w:lastRenderedPageBreak/>
        <w:t xml:space="preserve">The limits of the maximum agreed contractual </w:t>
      </w:r>
      <w:r w:rsidR="005C0640">
        <w:rPr>
          <w:rFonts w:ascii="Clara Sans" w:hAnsi="Clara Sans" w:cs="Calibri"/>
          <w:spacing w:val="10"/>
          <w:kern w:val="20"/>
          <w:lang w:val="en-GB"/>
        </w:rPr>
        <w:t>salary</w:t>
      </w:r>
      <w:r w:rsidRPr="009D057A">
        <w:rPr>
          <w:rFonts w:ascii="Clara Sans" w:hAnsi="Clara Sans" w:cs="Calibri"/>
          <w:spacing w:val="10"/>
          <w:kern w:val="20"/>
          <w:lang w:val="en-GB"/>
        </w:rPr>
        <w:t xml:space="preserve"> for individual types of projects and types of work or agenda performed by employees at FTE 1.0 (full-time equivalent) are set as follows: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082"/>
      </w:tblGrid>
      <w:tr w:rsidR="00530A94" w:rsidRPr="009D057A" w14:paraId="631A3CC7" w14:textId="77777777" w:rsidTr="00F26610">
        <w:tc>
          <w:tcPr>
            <w:tcW w:w="8641" w:type="dxa"/>
            <w:gridSpan w:val="2"/>
          </w:tcPr>
          <w:p w14:paraId="19260854" w14:textId="52C6718E" w:rsidR="00530A94" w:rsidRPr="009D057A" w:rsidRDefault="00530A94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Clara Sans" w:hAnsi="Clara Sans"/>
                <w:b/>
                <w:bCs/>
                <w:lang w:val="en-GB"/>
              </w:rPr>
            </w:pPr>
            <w:r w:rsidRPr="009D057A">
              <w:rPr>
                <w:rFonts w:ascii="Clara Sans" w:hAnsi="Clara Sans"/>
                <w:b/>
                <w:bCs/>
                <w:lang w:val="en-GB"/>
              </w:rPr>
              <w:t>Principal investigator</w:t>
            </w:r>
            <w:r w:rsidR="00F26610">
              <w:rPr>
                <w:rFonts w:ascii="Clara Sans" w:hAnsi="Clara Sans"/>
                <w:b/>
                <w:bCs/>
                <w:lang w:val="en-GB"/>
              </w:rPr>
              <w:t xml:space="preserve"> and co-principal investigator</w:t>
            </w:r>
          </w:p>
        </w:tc>
      </w:tr>
      <w:tr w:rsidR="00EB0434" w:rsidRPr="009D057A" w14:paraId="196B0FE6" w14:textId="77777777" w:rsidTr="00F26610">
        <w:tc>
          <w:tcPr>
            <w:tcW w:w="8641" w:type="dxa"/>
            <w:gridSpan w:val="2"/>
          </w:tcPr>
          <w:p w14:paraId="00AD74EB" w14:textId="77777777" w:rsidR="00EB0434" w:rsidRPr="009D057A" w:rsidRDefault="00EB0434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Clara Sans" w:hAnsi="Clara Sans"/>
                <w:b/>
                <w:bCs/>
                <w:lang w:val="en-GB"/>
              </w:rPr>
            </w:pPr>
            <w:r w:rsidRPr="009D057A">
              <w:rPr>
                <w:rFonts w:ascii="Clara Sans" w:hAnsi="Clara Sans"/>
                <w:b/>
                <w:bCs/>
                <w:lang w:val="en-GB"/>
              </w:rPr>
              <w:t>ERC Starting, GAČR JUNIOR STAR and similar projects</w:t>
            </w:r>
          </w:p>
        </w:tc>
      </w:tr>
      <w:tr w:rsidR="00EB0434" w:rsidRPr="009D057A" w14:paraId="119EACDE" w14:textId="77777777" w:rsidTr="00F26610">
        <w:tc>
          <w:tcPr>
            <w:tcW w:w="1559" w:type="dxa"/>
          </w:tcPr>
          <w:p w14:paraId="3B4DAAB2" w14:textId="77777777" w:rsidR="00EB0434" w:rsidRPr="009D057A" w:rsidRDefault="00EB043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  <w:lang w:val="en-GB"/>
              </w:rPr>
            </w:pPr>
            <w:r w:rsidRPr="009D057A">
              <w:rPr>
                <w:rFonts w:ascii="Clara Sans" w:hAnsi="Clara Sans"/>
                <w:lang w:val="en-GB"/>
              </w:rPr>
              <w:t>postdoc</w:t>
            </w:r>
          </w:p>
        </w:tc>
        <w:tc>
          <w:tcPr>
            <w:tcW w:w="7082" w:type="dxa"/>
          </w:tcPr>
          <w:p w14:paraId="2D9A403A" w14:textId="70ECFFF1" w:rsidR="00EB0434" w:rsidRPr="009D057A" w:rsidRDefault="00EB043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  <w:lang w:val="en-GB"/>
              </w:rPr>
            </w:pPr>
            <w:r w:rsidRPr="009D057A">
              <w:rPr>
                <w:rFonts w:ascii="Clara Sans" w:hAnsi="Clara Sans"/>
                <w:lang w:val="en-GB"/>
              </w:rPr>
              <w:t xml:space="preserve">Increase in the </w:t>
            </w:r>
            <w:r w:rsidR="005C0640">
              <w:rPr>
                <w:rFonts w:ascii="Clara Sans" w:hAnsi="Clara Sans"/>
                <w:lang w:val="en-GB"/>
              </w:rPr>
              <w:t>salary</w:t>
            </w:r>
            <w:r w:rsidRPr="009D057A">
              <w:rPr>
                <w:rFonts w:ascii="Clara Sans" w:hAnsi="Clara Sans"/>
                <w:lang w:val="en-GB"/>
              </w:rPr>
              <w:t xml:space="preserve"> </w:t>
            </w:r>
            <w:r w:rsidR="00AB7BC3">
              <w:rPr>
                <w:rFonts w:ascii="Clara Sans" w:hAnsi="Clara Sans"/>
                <w:lang w:val="en-GB"/>
              </w:rPr>
              <w:t>category</w:t>
            </w:r>
            <w:r w:rsidRPr="009D057A">
              <w:rPr>
                <w:rFonts w:ascii="Clara Sans" w:hAnsi="Clara Sans"/>
                <w:lang w:val="en-GB"/>
              </w:rPr>
              <w:t xml:space="preserve"> </w:t>
            </w:r>
            <w:r w:rsidR="00F26610">
              <w:rPr>
                <w:rFonts w:ascii="Clara Sans" w:hAnsi="Clara Sans"/>
                <w:lang w:val="en-GB"/>
              </w:rPr>
              <w:t>according to the WR USB</w:t>
            </w:r>
            <w:r w:rsidR="00F26610">
              <w:rPr>
                <w:rStyle w:val="Znakapoznpodarou"/>
                <w:rFonts w:ascii="Clara Sans" w:hAnsi="Clara Sans"/>
                <w:lang w:val="en-GB"/>
              </w:rPr>
              <w:footnoteReference w:id="1"/>
            </w:r>
            <w:r w:rsidR="00F26610">
              <w:rPr>
                <w:rFonts w:ascii="Clara Sans" w:hAnsi="Clara Sans"/>
                <w:lang w:val="en-GB"/>
              </w:rPr>
              <w:t xml:space="preserve"> </w:t>
            </w:r>
            <w:r w:rsidRPr="009D057A">
              <w:rPr>
                <w:rFonts w:ascii="Clara Sans" w:hAnsi="Clara Sans"/>
                <w:lang w:val="en-GB"/>
              </w:rPr>
              <w:t xml:space="preserve">by up to </w:t>
            </w:r>
            <w:r w:rsidR="00F26610">
              <w:rPr>
                <w:rFonts w:ascii="Clara Sans" w:hAnsi="Clara Sans"/>
                <w:lang w:val="en-GB"/>
              </w:rPr>
              <w:t xml:space="preserve">120 </w:t>
            </w:r>
            <w:r w:rsidRPr="009D057A">
              <w:rPr>
                <w:rFonts w:ascii="Clara Sans" w:hAnsi="Clara Sans"/>
                <w:lang w:val="en-GB"/>
              </w:rPr>
              <w:t xml:space="preserve">%, i.e. contractual </w:t>
            </w:r>
            <w:r w:rsidR="005C0640">
              <w:rPr>
                <w:rFonts w:ascii="Clara Sans" w:hAnsi="Clara Sans"/>
                <w:lang w:val="en-GB"/>
              </w:rPr>
              <w:t>salary</w:t>
            </w:r>
            <w:r w:rsidRPr="009D057A">
              <w:rPr>
                <w:rFonts w:ascii="Clara Sans" w:hAnsi="Clara Sans"/>
                <w:lang w:val="en-GB"/>
              </w:rPr>
              <w:t xml:space="preserve"> up to </w:t>
            </w:r>
            <w:r w:rsidR="00F26610">
              <w:rPr>
                <w:rFonts w:ascii="Clara Sans" w:hAnsi="Clara Sans"/>
                <w:lang w:val="en-GB"/>
              </w:rPr>
              <w:t>220 </w:t>
            </w:r>
            <w:r w:rsidRPr="009D057A">
              <w:rPr>
                <w:rFonts w:ascii="Clara Sans" w:hAnsi="Clara Sans"/>
                <w:lang w:val="en-GB"/>
              </w:rPr>
              <w:t xml:space="preserve">% of the tariff </w:t>
            </w:r>
            <w:r w:rsidR="005C0640">
              <w:rPr>
                <w:rFonts w:ascii="Clara Sans" w:hAnsi="Clara Sans"/>
                <w:lang w:val="en-GB"/>
              </w:rPr>
              <w:t>salary</w:t>
            </w:r>
          </w:p>
        </w:tc>
      </w:tr>
      <w:tr w:rsidR="00EB0434" w:rsidRPr="009D057A" w14:paraId="3C4E98D8" w14:textId="77777777" w:rsidTr="00F26610">
        <w:tc>
          <w:tcPr>
            <w:tcW w:w="1559" w:type="dxa"/>
          </w:tcPr>
          <w:p w14:paraId="0F5A722E" w14:textId="77777777" w:rsidR="00EB0434" w:rsidRPr="009D057A" w:rsidRDefault="00EB043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  <w:lang w:val="en-GB"/>
              </w:rPr>
            </w:pPr>
            <w:r w:rsidRPr="009D057A">
              <w:rPr>
                <w:rFonts w:ascii="Clara Sans" w:hAnsi="Clara Sans"/>
                <w:lang w:val="en-GB"/>
              </w:rPr>
              <w:t>Associate Professor or Professor</w:t>
            </w:r>
          </w:p>
        </w:tc>
        <w:tc>
          <w:tcPr>
            <w:tcW w:w="7082" w:type="dxa"/>
          </w:tcPr>
          <w:p w14:paraId="1BDB04A9" w14:textId="44286439" w:rsidR="00EB0434" w:rsidRPr="009D057A" w:rsidRDefault="00EB043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  <w:lang w:val="en-GB"/>
              </w:rPr>
            </w:pPr>
            <w:r w:rsidRPr="009D057A">
              <w:rPr>
                <w:rFonts w:ascii="Clara Sans" w:hAnsi="Clara Sans"/>
                <w:lang w:val="en-GB"/>
              </w:rPr>
              <w:t xml:space="preserve">Increase in the </w:t>
            </w:r>
            <w:r w:rsidR="005C0640">
              <w:rPr>
                <w:rFonts w:ascii="Clara Sans" w:hAnsi="Clara Sans"/>
                <w:lang w:val="en-GB"/>
              </w:rPr>
              <w:t>salary</w:t>
            </w:r>
            <w:r w:rsidRPr="009D057A">
              <w:rPr>
                <w:rFonts w:ascii="Clara Sans" w:hAnsi="Clara Sans"/>
                <w:lang w:val="en-GB"/>
              </w:rPr>
              <w:t xml:space="preserve"> </w:t>
            </w:r>
            <w:r w:rsidR="00AB7BC3">
              <w:rPr>
                <w:rFonts w:ascii="Clara Sans" w:hAnsi="Clara Sans"/>
                <w:lang w:val="en-GB"/>
              </w:rPr>
              <w:t>category</w:t>
            </w:r>
            <w:r w:rsidR="00AB7BC3" w:rsidRPr="009D057A">
              <w:rPr>
                <w:rFonts w:ascii="Clara Sans" w:hAnsi="Clara Sans"/>
                <w:lang w:val="en-GB"/>
              </w:rPr>
              <w:t xml:space="preserve"> </w:t>
            </w:r>
            <w:r w:rsidR="00F26610">
              <w:rPr>
                <w:rFonts w:ascii="Clara Sans" w:hAnsi="Clara Sans"/>
                <w:lang w:val="en-GB"/>
              </w:rPr>
              <w:t>according to the WR USB</w:t>
            </w:r>
            <w:r w:rsidR="00F26610" w:rsidRPr="00F26610">
              <w:rPr>
                <w:rFonts w:ascii="Clara Sans" w:hAnsi="Clara Sans"/>
                <w:vertAlign w:val="superscript"/>
                <w:lang w:val="en-GB"/>
              </w:rPr>
              <w:t>*</w:t>
            </w:r>
            <w:r w:rsidR="00F26610" w:rsidRPr="009D057A">
              <w:rPr>
                <w:rFonts w:ascii="Clara Sans" w:hAnsi="Clara Sans"/>
                <w:lang w:val="en-GB"/>
              </w:rPr>
              <w:t xml:space="preserve"> </w:t>
            </w:r>
            <w:r w:rsidRPr="009D057A">
              <w:rPr>
                <w:rFonts w:ascii="Clara Sans" w:hAnsi="Clara Sans"/>
                <w:lang w:val="en-GB"/>
              </w:rPr>
              <w:t xml:space="preserve">by up to </w:t>
            </w:r>
            <w:r w:rsidR="00F26610">
              <w:rPr>
                <w:rFonts w:ascii="Clara Sans" w:hAnsi="Clara Sans"/>
                <w:lang w:val="en-GB"/>
              </w:rPr>
              <w:t xml:space="preserve">150 </w:t>
            </w:r>
            <w:r w:rsidRPr="009D057A">
              <w:rPr>
                <w:rFonts w:ascii="Clara Sans" w:hAnsi="Clara Sans"/>
                <w:lang w:val="en-GB"/>
              </w:rPr>
              <w:t xml:space="preserve">%, i.e. contractual </w:t>
            </w:r>
            <w:r w:rsidR="005C0640">
              <w:rPr>
                <w:rFonts w:ascii="Clara Sans" w:hAnsi="Clara Sans"/>
                <w:lang w:val="en-GB"/>
              </w:rPr>
              <w:t>salary</w:t>
            </w:r>
            <w:r w:rsidRPr="009D057A">
              <w:rPr>
                <w:rFonts w:ascii="Clara Sans" w:hAnsi="Clara Sans"/>
                <w:lang w:val="en-GB"/>
              </w:rPr>
              <w:t xml:space="preserve"> up to </w:t>
            </w:r>
            <w:r w:rsidR="00F26610">
              <w:rPr>
                <w:rFonts w:ascii="Clara Sans" w:hAnsi="Clara Sans"/>
                <w:lang w:val="en-GB"/>
              </w:rPr>
              <w:t>250 </w:t>
            </w:r>
            <w:r w:rsidR="00F26610" w:rsidRPr="009D057A">
              <w:rPr>
                <w:rFonts w:ascii="Clara Sans" w:hAnsi="Clara Sans"/>
                <w:lang w:val="en-GB"/>
              </w:rPr>
              <w:t>%</w:t>
            </w:r>
            <w:r w:rsidRPr="009D057A">
              <w:rPr>
                <w:rFonts w:ascii="Clara Sans" w:hAnsi="Clara Sans"/>
                <w:lang w:val="en-GB"/>
              </w:rPr>
              <w:t xml:space="preserve"> of the tariff </w:t>
            </w:r>
            <w:r w:rsidR="005C0640">
              <w:rPr>
                <w:rFonts w:ascii="Clara Sans" w:hAnsi="Clara Sans"/>
                <w:lang w:val="en-GB"/>
              </w:rPr>
              <w:t>salary</w:t>
            </w:r>
          </w:p>
        </w:tc>
      </w:tr>
      <w:tr w:rsidR="00EB0434" w:rsidRPr="009D057A" w14:paraId="75901D3A" w14:textId="77777777" w:rsidTr="00F26610">
        <w:tc>
          <w:tcPr>
            <w:tcW w:w="8641" w:type="dxa"/>
            <w:gridSpan w:val="2"/>
          </w:tcPr>
          <w:p w14:paraId="2E4A5AF4" w14:textId="77777777" w:rsidR="00EB0434" w:rsidRPr="009D057A" w:rsidRDefault="00EB0434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Clara Sans" w:hAnsi="Clara Sans"/>
                <w:b/>
                <w:bCs/>
                <w:lang w:val="en-GB"/>
              </w:rPr>
            </w:pPr>
            <w:r w:rsidRPr="009D057A">
              <w:rPr>
                <w:rFonts w:ascii="Clara Sans" w:hAnsi="Clara Sans"/>
                <w:b/>
                <w:bCs/>
                <w:lang w:val="en-GB"/>
              </w:rPr>
              <w:t>ERC Consolidator</w:t>
            </w:r>
          </w:p>
        </w:tc>
      </w:tr>
      <w:tr w:rsidR="00EB0434" w:rsidRPr="009D057A" w14:paraId="169A0408" w14:textId="77777777" w:rsidTr="00F26610">
        <w:tc>
          <w:tcPr>
            <w:tcW w:w="1559" w:type="dxa"/>
          </w:tcPr>
          <w:p w14:paraId="34BE2B10" w14:textId="77777777" w:rsidR="00EB0434" w:rsidRPr="009D057A" w:rsidRDefault="00EB043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  <w:lang w:val="en-GB"/>
              </w:rPr>
            </w:pPr>
          </w:p>
        </w:tc>
        <w:tc>
          <w:tcPr>
            <w:tcW w:w="7082" w:type="dxa"/>
          </w:tcPr>
          <w:p w14:paraId="7E86DB5A" w14:textId="37E892D5" w:rsidR="00EB0434" w:rsidRPr="009D057A" w:rsidRDefault="00EB043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  <w:lang w:val="en-GB"/>
              </w:rPr>
            </w:pPr>
            <w:r w:rsidRPr="009D057A">
              <w:rPr>
                <w:rFonts w:ascii="Clara Sans" w:hAnsi="Clara Sans"/>
                <w:lang w:val="en-GB"/>
              </w:rPr>
              <w:t xml:space="preserve">Increase in the </w:t>
            </w:r>
            <w:r w:rsidR="005C0640">
              <w:rPr>
                <w:rFonts w:ascii="Clara Sans" w:hAnsi="Clara Sans"/>
                <w:lang w:val="en-GB"/>
              </w:rPr>
              <w:t>salary</w:t>
            </w:r>
            <w:r w:rsidRPr="009D057A">
              <w:rPr>
                <w:rFonts w:ascii="Clara Sans" w:hAnsi="Clara Sans"/>
                <w:lang w:val="en-GB"/>
              </w:rPr>
              <w:t xml:space="preserve"> </w:t>
            </w:r>
            <w:r w:rsidR="00AB7BC3">
              <w:rPr>
                <w:rFonts w:ascii="Clara Sans" w:hAnsi="Clara Sans"/>
                <w:lang w:val="en-GB"/>
              </w:rPr>
              <w:t>category</w:t>
            </w:r>
            <w:r w:rsidR="00AB7BC3" w:rsidRPr="009D057A">
              <w:rPr>
                <w:rFonts w:ascii="Clara Sans" w:hAnsi="Clara Sans"/>
                <w:lang w:val="en-GB"/>
              </w:rPr>
              <w:t xml:space="preserve"> </w:t>
            </w:r>
            <w:r w:rsidR="00F26610">
              <w:rPr>
                <w:rFonts w:ascii="Clara Sans" w:hAnsi="Clara Sans"/>
                <w:lang w:val="en-GB"/>
              </w:rPr>
              <w:t>according to the WR USB</w:t>
            </w:r>
            <w:r w:rsidR="00F26610" w:rsidRPr="00F26610">
              <w:rPr>
                <w:rFonts w:ascii="Clara Sans" w:hAnsi="Clara Sans"/>
                <w:vertAlign w:val="superscript"/>
                <w:lang w:val="en-GB"/>
              </w:rPr>
              <w:t>*</w:t>
            </w:r>
            <w:r w:rsidR="00F26610" w:rsidRPr="009D057A">
              <w:rPr>
                <w:rFonts w:ascii="Clara Sans" w:hAnsi="Clara Sans"/>
                <w:lang w:val="en-GB"/>
              </w:rPr>
              <w:t xml:space="preserve"> </w:t>
            </w:r>
            <w:r w:rsidRPr="009D057A">
              <w:rPr>
                <w:rFonts w:ascii="Clara Sans" w:hAnsi="Clara Sans"/>
                <w:lang w:val="en-GB"/>
              </w:rPr>
              <w:t xml:space="preserve">by up to </w:t>
            </w:r>
            <w:r w:rsidR="00F26610">
              <w:rPr>
                <w:rFonts w:ascii="Clara Sans" w:hAnsi="Clara Sans"/>
                <w:lang w:val="en-GB"/>
              </w:rPr>
              <w:t xml:space="preserve">150 </w:t>
            </w:r>
            <w:r w:rsidRPr="009D057A">
              <w:rPr>
                <w:rFonts w:ascii="Clara Sans" w:hAnsi="Clara Sans"/>
                <w:lang w:val="en-GB"/>
              </w:rPr>
              <w:t xml:space="preserve">%, i.e. contractual </w:t>
            </w:r>
            <w:r w:rsidR="005C0640">
              <w:rPr>
                <w:rFonts w:ascii="Clara Sans" w:hAnsi="Clara Sans"/>
                <w:lang w:val="en-GB"/>
              </w:rPr>
              <w:t>salary</w:t>
            </w:r>
            <w:r w:rsidRPr="009D057A">
              <w:rPr>
                <w:rFonts w:ascii="Clara Sans" w:hAnsi="Clara Sans"/>
                <w:lang w:val="en-GB"/>
              </w:rPr>
              <w:t xml:space="preserve"> up to </w:t>
            </w:r>
            <w:r w:rsidR="00F26610">
              <w:rPr>
                <w:rFonts w:ascii="Clara Sans" w:hAnsi="Clara Sans"/>
                <w:lang w:val="en-GB"/>
              </w:rPr>
              <w:t>250 </w:t>
            </w:r>
            <w:r w:rsidR="00F26610" w:rsidRPr="009D057A">
              <w:rPr>
                <w:rFonts w:ascii="Clara Sans" w:hAnsi="Clara Sans"/>
                <w:lang w:val="en-GB"/>
              </w:rPr>
              <w:t>%</w:t>
            </w:r>
            <w:r w:rsidRPr="009D057A">
              <w:rPr>
                <w:rFonts w:ascii="Clara Sans" w:hAnsi="Clara Sans"/>
                <w:lang w:val="en-GB"/>
              </w:rPr>
              <w:t xml:space="preserve"> of the tariff </w:t>
            </w:r>
            <w:r w:rsidR="005C0640">
              <w:rPr>
                <w:rFonts w:ascii="Clara Sans" w:hAnsi="Clara Sans"/>
                <w:lang w:val="en-GB"/>
              </w:rPr>
              <w:t>salary</w:t>
            </w:r>
          </w:p>
        </w:tc>
      </w:tr>
      <w:tr w:rsidR="00EB0434" w:rsidRPr="009D057A" w14:paraId="734F03AE" w14:textId="77777777" w:rsidTr="00F26610">
        <w:tc>
          <w:tcPr>
            <w:tcW w:w="8641" w:type="dxa"/>
            <w:gridSpan w:val="2"/>
          </w:tcPr>
          <w:p w14:paraId="2D9975F5" w14:textId="77777777" w:rsidR="00EB0434" w:rsidRPr="009D057A" w:rsidRDefault="00EB0434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Clara Sans" w:hAnsi="Clara Sans"/>
                <w:b/>
                <w:bCs/>
                <w:lang w:val="en-GB"/>
              </w:rPr>
            </w:pPr>
            <w:r w:rsidRPr="009D057A">
              <w:rPr>
                <w:rFonts w:ascii="Clara Sans" w:hAnsi="Clara Sans"/>
                <w:b/>
                <w:bCs/>
                <w:lang w:val="en-GB"/>
              </w:rPr>
              <w:t>ERC Advanced, Synergy</w:t>
            </w:r>
          </w:p>
        </w:tc>
      </w:tr>
      <w:tr w:rsidR="00EB0434" w:rsidRPr="009D057A" w14:paraId="425CFE5E" w14:textId="77777777" w:rsidTr="00F26610">
        <w:tc>
          <w:tcPr>
            <w:tcW w:w="1559" w:type="dxa"/>
          </w:tcPr>
          <w:p w14:paraId="394D1595" w14:textId="77777777" w:rsidR="00EB0434" w:rsidRPr="009D057A" w:rsidRDefault="00EB043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  <w:lang w:val="en-GB"/>
              </w:rPr>
            </w:pPr>
          </w:p>
        </w:tc>
        <w:tc>
          <w:tcPr>
            <w:tcW w:w="7082" w:type="dxa"/>
          </w:tcPr>
          <w:p w14:paraId="5D41DA35" w14:textId="6A2C91DC" w:rsidR="00EB0434" w:rsidRPr="009D057A" w:rsidRDefault="00EB043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  <w:lang w:val="en-GB"/>
              </w:rPr>
            </w:pPr>
            <w:r w:rsidRPr="009D057A">
              <w:rPr>
                <w:rFonts w:ascii="Clara Sans" w:hAnsi="Clara Sans"/>
                <w:lang w:val="en-GB"/>
              </w:rPr>
              <w:t xml:space="preserve">Increase in the </w:t>
            </w:r>
            <w:r w:rsidR="005C0640">
              <w:rPr>
                <w:rFonts w:ascii="Clara Sans" w:hAnsi="Clara Sans"/>
                <w:lang w:val="en-GB"/>
              </w:rPr>
              <w:t>salary</w:t>
            </w:r>
            <w:r w:rsidRPr="009D057A">
              <w:rPr>
                <w:rFonts w:ascii="Clara Sans" w:hAnsi="Clara Sans"/>
                <w:lang w:val="en-GB"/>
              </w:rPr>
              <w:t xml:space="preserve"> </w:t>
            </w:r>
            <w:r w:rsidR="00AB7BC3">
              <w:rPr>
                <w:rFonts w:ascii="Clara Sans" w:hAnsi="Clara Sans"/>
                <w:lang w:val="en-GB"/>
              </w:rPr>
              <w:t>category</w:t>
            </w:r>
            <w:r w:rsidR="00AB7BC3" w:rsidRPr="009D057A">
              <w:rPr>
                <w:rFonts w:ascii="Clara Sans" w:hAnsi="Clara Sans"/>
                <w:lang w:val="en-GB"/>
              </w:rPr>
              <w:t xml:space="preserve"> </w:t>
            </w:r>
            <w:r w:rsidR="00F26610">
              <w:rPr>
                <w:rFonts w:ascii="Clara Sans" w:hAnsi="Clara Sans"/>
                <w:lang w:val="en-GB"/>
              </w:rPr>
              <w:t>according to the WR USB</w:t>
            </w:r>
            <w:r w:rsidR="00F26610" w:rsidRPr="00F26610">
              <w:rPr>
                <w:rFonts w:ascii="Clara Sans" w:hAnsi="Clara Sans"/>
                <w:vertAlign w:val="superscript"/>
                <w:lang w:val="en-GB"/>
              </w:rPr>
              <w:t>*</w:t>
            </w:r>
            <w:r w:rsidR="00F26610" w:rsidRPr="009D057A">
              <w:rPr>
                <w:rFonts w:ascii="Clara Sans" w:hAnsi="Clara Sans"/>
                <w:lang w:val="en-GB"/>
              </w:rPr>
              <w:t xml:space="preserve"> </w:t>
            </w:r>
            <w:r w:rsidRPr="009D057A">
              <w:rPr>
                <w:rFonts w:ascii="Clara Sans" w:hAnsi="Clara Sans"/>
                <w:lang w:val="en-GB"/>
              </w:rPr>
              <w:t xml:space="preserve">by up to </w:t>
            </w:r>
            <w:r w:rsidR="00F26610">
              <w:rPr>
                <w:rFonts w:ascii="Clara Sans" w:hAnsi="Clara Sans"/>
                <w:lang w:val="en-GB"/>
              </w:rPr>
              <w:t xml:space="preserve">180 </w:t>
            </w:r>
            <w:r w:rsidRPr="009D057A">
              <w:rPr>
                <w:rFonts w:ascii="Clara Sans" w:hAnsi="Clara Sans"/>
                <w:lang w:val="en-GB"/>
              </w:rPr>
              <w:t xml:space="preserve">%, i.e. contractual </w:t>
            </w:r>
            <w:r w:rsidR="005C0640">
              <w:rPr>
                <w:rFonts w:ascii="Clara Sans" w:hAnsi="Clara Sans"/>
                <w:lang w:val="en-GB"/>
              </w:rPr>
              <w:t>salary</w:t>
            </w:r>
            <w:r w:rsidRPr="009D057A">
              <w:rPr>
                <w:rFonts w:ascii="Clara Sans" w:hAnsi="Clara Sans"/>
                <w:lang w:val="en-GB"/>
              </w:rPr>
              <w:t xml:space="preserve"> up to </w:t>
            </w:r>
            <w:r w:rsidR="00F26610">
              <w:rPr>
                <w:rFonts w:ascii="Clara Sans" w:hAnsi="Clara Sans"/>
                <w:lang w:val="en-GB"/>
              </w:rPr>
              <w:t>280 </w:t>
            </w:r>
            <w:r w:rsidR="00F26610" w:rsidRPr="009D057A">
              <w:rPr>
                <w:rFonts w:ascii="Clara Sans" w:hAnsi="Clara Sans"/>
                <w:lang w:val="en-GB"/>
              </w:rPr>
              <w:t>%</w:t>
            </w:r>
            <w:r w:rsidRPr="009D057A">
              <w:rPr>
                <w:rFonts w:ascii="Clara Sans" w:hAnsi="Clara Sans"/>
                <w:lang w:val="en-GB"/>
              </w:rPr>
              <w:t xml:space="preserve"> of the tariff </w:t>
            </w:r>
            <w:r w:rsidR="005C0640">
              <w:rPr>
                <w:rFonts w:ascii="Clara Sans" w:hAnsi="Clara Sans"/>
                <w:lang w:val="en-GB"/>
              </w:rPr>
              <w:t>salary</w:t>
            </w:r>
          </w:p>
        </w:tc>
      </w:tr>
      <w:tr w:rsidR="00EB0434" w:rsidRPr="009D057A" w14:paraId="374704DC" w14:textId="77777777" w:rsidTr="00F26610">
        <w:tc>
          <w:tcPr>
            <w:tcW w:w="8641" w:type="dxa"/>
            <w:gridSpan w:val="2"/>
          </w:tcPr>
          <w:p w14:paraId="04973132" w14:textId="77777777" w:rsidR="00EB0434" w:rsidRPr="009D057A" w:rsidRDefault="00EB043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  <w:lang w:val="en-GB"/>
              </w:rPr>
            </w:pPr>
          </w:p>
        </w:tc>
      </w:tr>
      <w:tr w:rsidR="00EB0434" w:rsidRPr="009D057A" w14:paraId="17C1E491" w14:textId="77777777" w:rsidTr="00F26610">
        <w:tc>
          <w:tcPr>
            <w:tcW w:w="8641" w:type="dxa"/>
            <w:gridSpan w:val="2"/>
          </w:tcPr>
          <w:p w14:paraId="3A924084" w14:textId="77777777" w:rsidR="00EB0434" w:rsidRPr="009D057A" w:rsidRDefault="00EB0434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Clara Sans" w:hAnsi="Clara Sans"/>
                <w:b/>
                <w:bCs/>
                <w:lang w:val="en-GB"/>
              </w:rPr>
            </w:pPr>
            <w:r w:rsidRPr="009D057A">
              <w:rPr>
                <w:rFonts w:ascii="Clara Sans" w:hAnsi="Clara Sans"/>
                <w:b/>
                <w:bCs/>
                <w:lang w:val="en-GB"/>
              </w:rPr>
              <w:t>All types of projects – members of the research team</w:t>
            </w:r>
          </w:p>
        </w:tc>
      </w:tr>
      <w:tr w:rsidR="00EB0434" w:rsidRPr="009D057A" w14:paraId="5DB5D411" w14:textId="77777777" w:rsidTr="00F26610">
        <w:tc>
          <w:tcPr>
            <w:tcW w:w="1559" w:type="dxa"/>
          </w:tcPr>
          <w:p w14:paraId="046A55A3" w14:textId="77777777" w:rsidR="00EB0434" w:rsidRPr="009D057A" w:rsidRDefault="00EB043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  <w:lang w:val="en-GB"/>
              </w:rPr>
            </w:pPr>
            <w:r w:rsidRPr="009D057A">
              <w:rPr>
                <w:rFonts w:ascii="Clara Sans" w:hAnsi="Clara Sans"/>
                <w:lang w:val="en-GB"/>
              </w:rPr>
              <w:t>senior</w:t>
            </w:r>
          </w:p>
        </w:tc>
        <w:tc>
          <w:tcPr>
            <w:tcW w:w="7082" w:type="dxa"/>
          </w:tcPr>
          <w:p w14:paraId="7E640236" w14:textId="32EE56F2" w:rsidR="00EB0434" w:rsidRPr="009D057A" w:rsidRDefault="00EB043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  <w:lang w:val="en-GB"/>
              </w:rPr>
            </w:pPr>
            <w:r w:rsidRPr="009D057A">
              <w:rPr>
                <w:rFonts w:ascii="Clara Sans" w:hAnsi="Clara Sans"/>
                <w:lang w:val="en-GB"/>
              </w:rPr>
              <w:t xml:space="preserve">Increase in the </w:t>
            </w:r>
            <w:r w:rsidR="005C0640">
              <w:rPr>
                <w:rFonts w:ascii="Clara Sans" w:hAnsi="Clara Sans"/>
                <w:lang w:val="en-GB"/>
              </w:rPr>
              <w:t>salary</w:t>
            </w:r>
            <w:r w:rsidRPr="009D057A">
              <w:rPr>
                <w:rFonts w:ascii="Clara Sans" w:hAnsi="Clara Sans"/>
                <w:lang w:val="en-GB"/>
              </w:rPr>
              <w:t xml:space="preserve"> </w:t>
            </w:r>
            <w:r w:rsidR="00AB7BC3">
              <w:rPr>
                <w:rFonts w:ascii="Clara Sans" w:hAnsi="Clara Sans"/>
                <w:lang w:val="en-GB"/>
              </w:rPr>
              <w:t>category</w:t>
            </w:r>
            <w:r w:rsidR="00AB7BC3" w:rsidRPr="009D057A">
              <w:rPr>
                <w:rFonts w:ascii="Clara Sans" w:hAnsi="Clara Sans"/>
                <w:lang w:val="en-GB"/>
              </w:rPr>
              <w:t xml:space="preserve"> </w:t>
            </w:r>
            <w:r w:rsidR="00F26610">
              <w:rPr>
                <w:rFonts w:ascii="Clara Sans" w:hAnsi="Clara Sans"/>
                <w:lang w:val="en-GB"/>
              </w:rPr>
              <w:t>according to the WR USB</w:t>
            </w:r>
            <w:r w:rsidR="00F26610" w:rsidRPr="00F26610">
              <w:rPr>
                <w:rFonts w:ascii="Clara Sans" w:hAnsi="Clara Sans"/>
                <w:vertAlign w:val="superscript"/>
                <w:lang w:val="en-GB"/>
              </w:rPr>
              <w:t>*</w:t>
            </w:r>
            <w:r w:rsidR="00F26610" w:rsidRPr="009D057A">
              <w:rPr>
                <w:rFonts w:ascii="Clara Sans" w:hAnsi="Clara Sans"/>
                <w:lang w:val="en-GB"/>
              </w:rPr>
              <w:t xml:space="preserve"> </w:t>
            </w:r>
            <w:r w:rsidRPr="009D057A">
              <w:rPr>
                <w:rFonts w:ascii="Clara Sans" w:hAnsi="Clara Sans"/>
                <w:lang w:val="en-GB"/>
              </w:rPr>
              <w:t xml:space="preserve">by up to </w:t>
            </w:r>
            <w:r w:rsidR="00F26610">
              <w:rPr>
                <w:rFonts w:ascii="Clara Sans" w:hAnsi="Clara Sans"/>
                <w:lang w:val="en-GB"/>
              </w:rPr>
              <w:t xml:space="preserve">120 </w:t>
            </w:r>
            <w:r w:rsidRPr="009D057A">
              <w:rPr>
                <w:rFonts w:ascii="Clara Sans" w:hAnsi="Clara Sans"/>
                <w:lang w:val="en-GB"/>
              </w:rPr>
              <w:t xml:space="preserve">%, i.e. contractual </w:t>
            </w:r>
            <w:r w:rsidR="005C0640">
              <w:rPr>
                <w:rFonts w:ascii="Clara Sans" w:hAnsi="Clara Sans"/>
                <w:lang w:val="en-GB"/>
              </w:rPr>
              <w:t>salary</w:t>
            </w:r>
            <w:r w:rsidRPr="009D057A">
              <w:rPr>
                <w:rFonts w:ascii="Clara Sans" w:hAnsi="Clara Sans"/>
                <w:lang w:val="en-GB"/>
              </w:rPr>
              <w:t xml:space="preserve"> up to </w:t>
            </w:r>
            <w:r w:rsidR="00F26610">
              <w:rPr>
                <w:rFonts w:ascii="Clara Sans" w:hAnsi="Clara Sans"/>
                <w:lang w:val="en-GB"/>
              </w:rPr>
              <w:t>220 </w:t>
            </w:r>
            <w:r w:rsidR="00F26610" w:rsidRPr="009D057A">
              <w:rPr>
                <w:rFonts w:ascii="Clara Sans" w:hAnsi="Clara Sans"/>
                <w:lang w:val="en-GB"/>
              </w:rPr>
              <w:t>%</w:t>
            </w:r>
            <w:r w:rsidRPr="009D057A">
              <w:rPr>
                <w:rFonts w:ascii="Clara Sans" w:hAnsi="Clara Sans"/>
                <w:lang w:val="en-GB"/>
              </w:rPr>
              <w:t xml:space="preserve"> of the tariff </w:t>
            </w:r>
            <w:r w:rsidR="005C0640">
              <w:rPr>
                <w:rFonts w:ascii="Clara Sans" w:hAnsi="Clara Sans"/>
                <w:lang w:val="en-GB"/>
              </w:rPr>
              <w:t>salary</w:t>
            </w:r>
          </w:p>
        </w:tc>
      </w:tr>
      <w:tr w:rsidR="00EB0434" w:rsidRPr="009D057A" w14:paraId="4FF434AD" w14:textId="77777777" w:rsidTr="00F26610">
        <w:tc>
          <w:tcPr>
            <w:tcW w:w="1559" w:type="dxa"/>
          </w:tcPr>
          <w:p w14:paraId="23957328" w14:textId="42D22225" w:rsidR="00EB0434" w:rsidRPr="009D057A" w:rsidRDefault="00F26610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  <w:lang w:val="en-GB"/>
              </w:rPr>
            </w:pPr>
            <w:r>
              <w:rPr>
                <w:rFonts w:ascii="Clara Sans" w:hAnsi="Clara Sans"/>
                <w:lang w:val="en-GB"/>
              </w:rPr>
              <w:t>p</w:t>
            </w:r>
            <w:r w:rsidR="00EB0434" w:rsidRPr="009D057A">
              <w:rPr>
                <w:rFonts w:ascii="Clara Sans" w:hAnsi="Clara Sans"/>
                <w:lang w:val="en-GB"/>
              </w:rPr>
              <w:t>ostdoc</w:t>
            </w:r>
          </w:p>
        </w:tc>
        <w:tc>
          <w:tcPr>
            <w:tcW w:w="7082" w:type="dxa"/>
          </w:tcPr>
          <w:p w14:paraId="376F9D59" w14:textId="3999A794" w:rsidR="00EB0434" w:rsidRPr="009D057A" w:rsidRDefault="00EB043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  <w:lang w:val="en-GB"/>
              </w:rPr>
            </w:pPr>
            <w:r w:rsidRPr="009D057A">
              <w:rPr>
                <w:rFonts w:ascii="Clara Sans" w:hAnsi="Clara Sans"/>
                <w:lang w:val="en-GB"/>
              </w:rPr>
              <w:t xml:space="preserve">Increase in the </w:t>
            </w:r>
            <w:r w:rsidR="005C0640">
              <w:rPr>
                <w:rFonts w:ascii="Clara Sans" w:hAnsi="Clara Sans"/>
                <w:lang w:val="en-GB"/>
              </w:rPr>
              <w:t>salary</w:t>
            </w:r>
            <w:r w:rsidRPr="009D057A">
              <w:rPr>
                <w:rFonts w:ascii="Clara Sans" w:hAnsi="Clara Sans"/>
                <w:lang w:val="en-GB"/>
              </w:rPr>
              <w:t xml:space="preserve"> </w:t>
            </w:r>
            <w:r w:rsidR="00AB7BC3">
              <w:rPr>
                <w:rFonts w:ascii="Clara Sans" w:hAnsi="Clara Sans"/>
                <w:lang w:val="en-GB"/>
              </w:rPr>
              <w:t>category</w:t>
            </w:r>
            <w:r w:rsidR="00AB7BC3" w:rsidRPr="009D057A">
              <w:rPr>
                <w:rFonts w:ascii="Clara Sans" w:hAnsi="Clara Sans"/>
                <w:lang w:val="en-GB"/>
              </w:rPr>
              <w:t xml:space="preserve"> </w:t>
            </w:r>
            <w:r w:rsidR="00F26610">
              <w:rPr>
                <w:rFonts w:ascii="Clara Sans" w:hAnsi="Clara Sans"/>
                <w:lang w:val="en-GB"/>
              </w:rPr>
              <w:t>according to the WR USB</w:t>
            </w:r>
            <w:r w:rsidR="00F26610" w:rsidRPr="00F26610">
              <w:rPr>
                <w:rFonts w:ascii="Clara Sans" w:hAnsi="Clara Sans"/>
                <w:vertAlign w:val="superscript"/>
                <w:lang w:val="en-GB"/>
              </w:rPr>
              <w:t>*</w:t>
            </w:r>
            <w:r w:rsidR="00F26610" w:rsidRPr="009D057A">
              <w:rPr>
                <w:rFonts w:ascii="Clara Sans" w:hAnsi="Clara Sans"/>
                <w:lang w:val="en-GB"/>
              </w:rPr>
              <w:t xml:space="preserve"> </w:t>
            </w:r>
            <w:r w:rsidRPr="009D057A">
              <w:rPr>
                <w:rFonts w:ascii="Clara Sans" w:hAnsi="Clara Sans"/>
                <w:lang w:val="en-GB"/>
              </w:rPr>
              <w:t xml:space="preserve">by up to </w:t>
            </w:r>
            <w:r w:rsidR="00F26610">
              <w:rPr>
                <w:rFonts w:ascii="Clara Sans" w:hAnsi="Clara Sans"/>
                <w:lang w:val="en-GB"/>
              </w:rPr>
              <w:t xml:space="preserve">100 </w:t>
            </w:r>
            <w:r w:rsidRPr="009D057A">
              <w:rPr>
                <w:rFonts w:ascii="Clara Sans" w:hAnsi="Clara Sans"/>
                <w:lang w:val="en-GB"/>
              </w:rPr>
              <w:t xml:space="preserve">%, i.e. contractual </w:t>
            </w:r>
            <w:r w:rsidR="006D75ED">
              <w:rPr>
                <w:rFonts w:ascii="Clara Sans" w:hAnsi="Clara Sans"/>
                <w:lang w:val="en-GB"/>
              </w:rPr>
              <w:t>salary</w:t>
            </w:r>
            <w:r w:rsidRPr="009D057A">
              <w:rPr>
                <w:rFonts w:ascii="Clara Sans" w:hAnsi="Clara Sans"/>
                <w:lang w:val="en-GB"/>
              </w:rPr>
              <w:t xml:space="preserve"> up to </w:t>
            </w:r>
            <w:r w:rsidR="00F26610">
              <w:rPr>
                <w:rFonts w:ascii="Clara Sans" w:hAnsi="Clara Sans"/>
                <w:lang w:val="en-GB"/>
              </w:rPr>
              <w:t>200 </w:t>
            </w:r>
            <w:r w:rsidR="00F26610" w:rsidRPr="009D057A">
              <w:rPr>
                <w:rFonts w:ascii="Clara Sans" w:hAnsi="Clara Sans"/>
                <w:lang w:val="en-GB"/>
              </w:rPr>
              <w:t>%</w:t>
            </w:r>
            <w:r w:rsidRPr="009D057A">
              <w:rPr>
                <w:rFonts w:ascii="Clara Sans" w:hAnsi="Clara Sans"/>
                <w:lang w:val="en-GB"/>
              </w:rPr>
              <w:t xml:space="preserve"> of the tariff </w:t>
            </w:r>
            <w:r w:rsidR="006D75ED">
              <w:rPr>
                <w:rFonts w:ascii="Clara Sans" w:hAnsi="Clara Sans"/>
                <w:lang w:val="en-GB"/>
              </w:rPr>
              <w:t>salary</w:t>
            </w:r>
          </w:p>
        </w:tc>
      </w:tr>
      <w:tr w:rsidR="00EB0434" w:rsidRPr="009D057A" w14:paraId="1BFDED4C" w14:textId="77777777" w:rsidTr="00F26610">
        <w:tc>
          <w:tcPr>
            <w:tcW w:w="1559" w:type="dxa"/>
          </w:tcPr>
          <w:p w14:paraId="6695A66A" w14:textId="77777777" w:rsidR="00EB0434" w:rsidRPr="009D057A" w:rsidRDefault="00EB043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  <w:lang w:val="en-GB"/>
              </w:rPr>
            </w:pPr>
            <w:r w:rsidRPr="009D057A">
              <w:rPr>
                <w:rFonts w:ascii="Clara Sans" w:hAnsi="Clara Sans"/>
                <w:lang w:val="en-GB"/>
              </w:rPr>
              <w:t>Ph.D. student</w:t>
            </w:r>
          </w:p>
        </w:tc>
        <w:tc>
          <w:tcPr>
            <w:tcW w:w="7082" w:type="dxa"/>
          </w:tcPr>
          <w:p w14:paraId="161E1AFC" w14:textId="6C2FFD7B" w:rsidR="00EB0434" w:rsidRPr="009D057A" w:rsidRDefault="00EB043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  <w:lang w:val="en-GB"/>
              </w:rPr>
            </w:pPr>
            <w:r w:rsidRPr="009D057A">
              <w:rPr>
                <w:rFonts w:ascii="Clara Sans" w:hAnsi="Clara Sans"/>
                <w:lang w:val="en-GB"/>
              </w:rPr>
              <w:t xml:space="preserve">Increase in the </w:t>
            </w:r>
            <w:r w:rsidR="006D75ED">
              <w:rPr>
                <w:rFonts w:ascii="Clara Sans" w:hAnsi="Clara Sans"/>
                <w:lang w:val="en-GB"/>
              </w:rPr>
              <w:t>salary</w:t>
            </w:r>
            <w:r w:rsidRPr="009D057A">
              <w:rPr>
                <w:rFonts w:ascii="Clara Sans" w:hAnsi="Clara Sans"/>
                <w:lang w:val="en-GB"/>
              </w:rPr>
              <w:t xml:space="preserve"> </w:t>
            </w:r>
            <w:r w:rsidR="00AB7BC3">
              <w:rPr>
                <w:rFonts w:ascii="Clara Sans" w:hAnsi="Clara Sans"/>
                <w:lang w:val="en-GB"/>
              </w:rPr>
              <w:t>category</w:t>
            </w:r>
            <w:r w:rsidR="00AB7BC3" w:rsidRPr="009D057A">
              <w:rPr>
                <w:rFonts w:ascii="Clara Sans" w:hAnsi="Clara Sans"/>
                <w:lang w:val="en-GB"/>
              </w:rPr>
              <w:t xml:space="preserve"> </w:t>
            </w:r>
            <w:r w:rsidR="00F26610">
              <w:rPr>
                <w:rFonts w:ascii="Clara Sans" w:hAnsi="Clara Sans"/>
                <w:lang w:val="en-GB"/>
              </w:rPr>
              <w:t>according to the WR USB</w:t>
            </w:r>
            <w:r w:rsidR="00F26610" w:rsidRPr="00F26610">
              <w:rPr>
                <w:rFonts w:ascii="Clara Sans" w:hAnsi="Clara Sans"/>
                <w:vertAlign w:val="superscript"/>
                <w:lang w:val="en-GB"/>
              </w:rPr>
              <w:t>*</w:t>
            </w:r>
            <w:r w:rsidR="00F26610" w:rsidRPr="009D057A">
              <w:rPr>
                <w:rFonts w:ascii="Clara Sans" w:hAnsi="Clara Sans"/>
                <w:lang w:val="en-GB"/>
              </w:rPr>
              <w:t xml:space="preserve"> </w:t>
            </w:r>
            <w:r w:rsidRPr="009D057A">
              <w:rPr>
                <w:rFonts w:ascii="Clara Sans" w:hAnsi="Clara Sans"/>
                <w:lang w:val="en-GB"/>
              </w:rPr>
              <w:t xml:space="preserve">by up to </w:t>
            </w:r>
            <w:r w:rsidR="00F26610">
              <w:rPr>
                <w:rFonts w:ascii="Clara Sans" w:hAnsi="Clara Sans"/>
                <w:lang w:val="en-GB"/>
              </w:rPr>
              <w:t xml:space="preserve">80 </w:t>
            </w:r>
            <w:r w:rsidRPr="009D057A">
              <w:rPr>
                <w:rFonts w:ascii="Clara Sans" w:hAnsi="Clara Sans"/>
                <w:lang w:val="en-GB"/>
              </w:rPr>
              <w:t xml:space="preserve">%, i.e. contractual </w:t>
            </w:r>
            <w:r w:rsidR="006D75ED">
              <w:rPr>
                <w:rFonts w:ascii="Clara Sans" w:hAnsi="Clara Sans"/>
                <w:lang w:val="en-GB"/>
              </w:rPr>
              <w:t>salary</w:t>
            </w:r>
            <w:r w:rsidRPr="009D057A">
              <w:rPr>
                <w:rFonts w:ascii="Clara Sans" w:hAnsi="Clara Sans"/>
                <w:lang w:val="en-GB"/>
              </w:rPr>
              <w:t xml:space="preserve"> up to </w:t>
            </w:r>
            <w:r w:rsidR="00F26610">
              <w:rPr>
                <w:rFonts w:ascii="Clara Sans" w:hAnsi="Clara Sans"/>
                <w:lang w:val="en-GB"/>
              </w:rPr>
              <w:t>180 </w:t>
            </w:r>
            <w:r w:rsidR="00F26610" w:rsidRPr="009D057A">
              <w:rPr>
                <w:rFonts w:ascii="Clara Sans" w:hAnsi="Clara Sans"/>
                <w:lang w:val="en-GB"/>
              </w:rPr>
              <w:t>%</w:t>
            </w:r>
            <w:r w:rsidRPr="009D057A">
              <w:rPr>
                <w:rFonts w:ascii="Clara Sans" w:hAnsi="Clara Sans"/>
                <w:lang w:val="en-GB"/>
              </w:rPr>
              <w:t xml:space="preserve"> of the tariff </w:t>
            </w:r>
            <w:r w:rsidR="006D75ED">
              <w:rPr>
                <w:rFonts w:ascii="Clara Sans" w:hAnsi="Clara Sans"/>
                <w:lang w:val="en-GB"/>
              </w:rPr>
              <w:t>salary</w:t>
            </w:r>
          </w:p>
        </w:tc>
      </w:tr>
      <w:tr w:rsidR="00EB0434" w:rsidRPr="009D057A" w14:paraId="541F546D" w14:textId="77777777" w:rsidTr="00F26610">
        <w:tc>
          <w:tcPr>
            <w:tcW w:w="1559" w:type="dxa"/>
          </w:tcPr>
          <w:p w14:paraId="7785357A" w14:textId="77777777" w:rsidR="00EB0434" w:rsidRPr="009D057A" w:rsidRDefault="00EB043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  <w:lang w:val="en-GB"/>
              </w:rPr>
            </w:pPr>
            <w:r w:rsidRPr="009D057A">
              <w:rPr>
                <w:rFonts w:ascii="Clara Sans" w:hAnsi="Clara Sans"/>
                <w:lang w:val="en-GB"/>
              </w:rPr>
              <w:t>technician</w:t>
            </w:r>
          </w:p>
        </w:tc>
        <w:tc>
          <w:tcPr>
            <w:tcW w:w="7082" w:type="dxa"/>
          </w:tcPr>
          <w:p w14:paraId="4C61845A" w14:textId="3DE6A4F1" w:rsidR="00EB0434" w:rsidRPr="009D057A" w:rsidRDefault="00EB043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  <w:lang w:val="en-GB"/>
              </w:rPr>
            </w:pPr>
            <w:r w:rsidRPr="009D057A">
              <w:rPr>
                <w:rFonts w:ascii="Clara Sans" w:hAnsi="Clara Sans"/>
                <w:lang w:val="en-GB"/>
              </w:rPr>
              <w:t xml:space="preserve">Increase in the </w:t>
            </w:r>
            <w:r w:rsidR="006D75ED">
              <w:rPr>
                <w:rFonts w:ascii="Clara Sans" w:hAnsi="Clara Sans"/>
                <w:lang w:val="en-GB"/>
              </w:rPr>
              <w:t>salary</w:t>
            </w:r>
            <w:r w:rsidRPr="009D057A">
              <w:rPr>
                <w:rFonts w:ascii="Clara Sans" w:hAnsi="Clara Sans"/>
                <w:lang w:val="en-GB"/>
              </w:rPr>
              <w:t xml:space="preserve"> </w:t>
            </w:r>
            <w:r w:rsidR="00AB7BC3">
              <w:rPr>
                <w:rFonts w:ascii="Clara Sans" w:hAnsi="Clara Sans"/>
                <w:lang w:val="en-GB"/>
              </w:rPr>
              <w:t>category</w:t>
            </w:r>
            <w:r w:rsidR="00AB7BC3" w:rsidRPr="009D057A">
              <w:rPr>
                <w:rFonts w:ascii="Clara Sans" w:hAnsi="Clara Sans"/>
                <w:lang w:val="en-GB"/>
              </w:rPr>
              <w:t xml:space="preserve"> </w:t>
            </w:r>
            <w:r w:rsidR="00F26610">
              <w:rPr>
                <w:rFonts w:ascii="Clara Sans" w:hAnsi="Clara Sans"/>
                <w:lang w:val="en-GB"/>
              </w:rPr>
              <w:t>according to the WR USB</w:t>
            </w:r>
            <w:r w:rsidR="00F26610" w:rsidRPr="00F26610">
              <w:rPr>
                <w:rFonts w:ascii="Clara Sans" w:hAnsi="Clara Sans"/>
                <w:vertAlign w:val="superscript"/>
                <w:lang w:val="en-GB"/>
              </w:rPr>
              <w:t>*</w:t>
            </w:r>
            <w:r w:rsidR="00F26610" w:rsidRPr="009D057A">
              <w:rPr>
                <w:rFonts w:ascii="Clara Sans" w:hAnsi="Clara Sans"/>
                <w:lang w:val="en-GB"/>
              </w:rPr>
              <w:t xml:space="preserve"> </w:t>
            </w:r>
            <w:r w:rsidRPr="009D057A">
              <w:rPr>
                <w:rFonts w:ascii="Clara Sans" w:hAnsi="Clara Sans"/>
                <w:lang w:val="en-GB"/>
              </w:rPr>
              <w:t xml:space="preserve">by up to </w:t>
            </w:r>
            <w:r w:rsidR="00F26610">
              <w:rPr>
                <w:rFonts w:ascii="Clara Sans" w:hAnsi="Clara Sans"/>
                <w:lang w:val="en-GB"/>
              </w:rPr>
              <w:t xml:space="preserve">50 </w:t>
            </w:r>
            <w:r w:rsidRPr="009D057A">
              <w:rPr>
                <w:rFonts w:ascii="Clara Sans" w:hAnsi="Clara Sans"/>
                <w:lang w:val="en-GB"/>
              </w:rPr>
              <w:t xml:space="preserve">%, i.e. contractual </w:t>
            </w:r>
            <w:r w:rsidR="006D75ED">
              <w:rPr>
                <w:rFonts w:ascii="Clara Sans" w:hAnsi="Clara Sans"/>
                <w:lang w:val="en-GB"/>
              </w:rPr>
              <w:t>salary</w:t>
            </w:r>
            <w:r w:rsidRPr="009D057A">
              <w:rPr>
                <w:rFonts w:ascii="Clara Sans" w:hAnsi="Clara Sans"/>
                <w:lang w:val="en-GB"/>
              </w:rPr>
              <w:t xml:space="preserve"> up to </w:t>
            </w:r>
            <w:r w:rsidR="00F26610">
              <w:rPr>
                <w:rFonts w:ascii="Clara Sans" w:hAnsi="Clara Sans"/>
                <w:lang w:val="en-GB"/>
              </w:rPr>
              <w:t>150 </w:t>
            </w:r>
            <w:r w:rsidR="00F26610" w:rsidRPr="009D057A">
              <w:rPr>
                <w:rFonts w:ascii="Clara Sans" w:hAnsi="Clara Sans"/>
                <w:lang w:val="en-GB"/>
              </w:rPr>
              <w:t>%</w:t>
            </w:r>
            <w:r w:rsidRPr="009D057A">
              <w:rPr>
                <w:rFonts w:ascii="Clara Sans" w:hAnsi="Clara Sans"/>
                <w:lang w:val="en-GB"/>
              </w:rPr>
              <w:t xml:space="preserve"> of the tariff </w:t>
            </w:r>
            <w:r w:rsidR="006D75ED">
              <w:rPr>
                <w:rFonts w:ascii="Clara Sans" w:hAnsi="Clara Sans"/>
                <w:lang w:val="en-GB"/>
              </w:rPr>
              <w:t>salary</w:t>
            </w:r>
          </w:p>
        </w:tc>
      </w:tr>
      <w:tr w:rsidR="00F26610" w:rsidRPr="009D057A" w14:paraId="496B8836" w14:textId="77777777" w:rsidTr="00F26610">
        <w:tc>
          <w:tcPr>
            <w:tcW w:w="1559" w:type="dxa"/>
          </w:tcPr>
          <w:p w14:paraId="5312837D" w14:textId="22990D51" w:rsidR="00F26610" w:rsidRPr="009D057A" w:rsidRDefault="00F26610" w:rsidP="00F26610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  <w:lang w:val="en-GB"/>
              </w:rPr>
            </w:pPr>
            <w:r>
              <w:rPr>
                <w:rFonts w:ascii="Clara Sans" w:hAnsi="Clara Sans"/>
                <w:lang w:val="en-GB"/>
              </w:rPr>
              <w:t>project manager</w:t>
            </w:r>
          </w:p>
        </w:tc>
        <w:tc>
          <w:tcPr>
            <w:tcW w:w="7082" w:type="dxa"/>
          </w:tcPr>
          <w:p w14:paraId="084B3CE3" w14:textId="7E8663D0" w:rsidR="00F26610" w:rsidRPr="009D057A" w:rsidRDefault="00F26610" w:rsidP="00F26610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lara Sans" w:hAnsi="Clara Sans"/>
                <w:lang w:val="en-GB"/>
              </w:rPr>
            </w:pPr>
            <w:r w:rsidRPr="009D057A">
              <w:rPr>
                <w:rFonts w:ascii="Clara Sans" w:hAnsi="Clara Sans"/>
                <w:lang w:val="en-GB"/>
              </w:rPr>
              <w:t xml:space="preserve">Increase in the </w:t>
            </w:r>
            <w:r w:rsidR="006D75ED">
              <w:rPr>
                <w:rFonts w:ascii="Clara Sans" w:hAnsi="Clara Sans"/>
                <w:lang w:val="en-GB"/>
              </w:rPr>
              <w:t>salary</w:t>
            </w:r>
            <w:r w:rsidRPr="009D057A">
              <w:rPr>
                <w:rFonts w:ascii="Clara Sans" w:hAnsi="Clara Sans"/>
                <w:lang w:val="en-GB"/>
              </w:rPr>
              <w:t xml:space="preserve"> </w:t>
            </w:r>
            <w:r>
              <w:rPr>
                <w:rFonts w:ascii="Clara Sans" w:hAnsi="Clara Sans"/>
                <w:lang w:val="en-GB"/>
              </w:rPr>
              <w:t>category</w:t>
            </w:r>
            <w:r w:rsidRPr="009D057A">
              <w:rPr>
                <w:rFonts w:ascii="Clara Sans" w:hAnsi="Clara Sans"/>
                <w:lang w:val="en-GB"/>
              </w:rPr>
              <w:t xml:space="preserve"> </w:t>
            </w:r>
            <w:r>
              <w:rPr>
                <w:rFonts w:ascii="Clara Sans" w:hAnsi="Clara Sans"/>
                <w:lang w:val="en-GB"/>
              </w:rPr>
              <w:t>according to the WR USB</w:t>
            </w:r>
            <w:r w:rsidRPr="00F26610">
              <w:rPr>
                <w:rFonts w:ascii="Clara Sans" w:hAnsi="Clara Sans"/>
                <w:vertAlign w:val="superscript"/>
                <w:lang w:val="en-GB"/>
              </w:rPr>
              <w:t>*</w:t>
            </w:r>
            <w:r w:rsidRPr="009D057A">
              <w:rPr>
                <w:rFonts w:ascii="Clara Sans" w:hAnsi="Clara Sans"/>
                <w:lang w:val="en-GB"/>
              </w:rPr>
              <w:t xml:space="preserve"> by up to </w:t>
            </w:r>
            <w:r>
              <w:rPr>
                <w:rFonts w:ascii="Clara Sans" w:hAnsi="Clara Sans"/>
                <w:lang w:val="en-GB"/>
              </w:rPr>
              <w:t xml:space="preserve">80 </w:t>
            </w:r>
            <w:r w:rsidRPr="009D057A">
              <w:rPr>
                <w:rFonts w:ascii="Clara Sans" w:hAnsi="Clara Sans"/>
                <w:lang w:val="en-GB"/>
              </w:rPr>
              <w:t xml:space="preserve">%, i.e. contractual </w:t>
            </w:r>
            <w:r w:rsidR="006D75ED">
              <w:rPr>
                <w:rFonts w:ascii="Clara Sans" w:hAnsi="Clara Sans"/>
                <w:lang w:val="en-GB"/>
              </w:rPr>
              <w:t>salary</w:t>
            </w:r>
            <w:r w:rsidRPr="009D057A">
              <w:rPr>
                <w:rFonts w:ascii="Clara Sans" w:hAnsi="Clara Sans"/>
                <w:lang w:val="en-GB"/>
              </w:rPr>
              <w:t xml:space="preserve"> up to </w:t>
            </w:r>
            <w:r>
              <w:rPr>
                <w:rFonts w:ascii="Clara Sans" w:hAnsi="Clara Sans"/>
                <w:lang w:val="en-GB"/>
              </w:rPr>
              <w:t>180 </w:t>
            </w:r>
            <w:r w:rsidRPr="009D057A">
              <w:rPr>
                <w:rFonts w:ascii="Clara Sans" w:hAnsi="Clara Sans"/>
                <w:lang w:val="en-GB"/>
              </w:rPr>
              <w:t xml:space="preserve">% of the tariff </w:t>
            </w:r>
            <w:r w:rsidR="006D75ED">
              <w:rPr>
                <w:rFonts w:ascii="Clara Sans" w:hAnsi="Clara Sans"/>
                <w:lang w:val="en-GB"/>
              </w:rPr>
              <w:t>salary</w:t>
            </w:r>
          </w:p>
        </w:tc>
      </w:tr>
    </w:tbl>
    <w:p w14:paraId="50F6AA5F" w14:textId="77777777" w:rsidR="00CC0F6C" w:rsidRPr="009D057A" w:rsidRDefault="00CC0F6C" w:rsidP="004F016B">
      <w:pPr>
        <w:autoSpaceDE w:val="0"/>
        <w:autoSpaceDN w:val="0"/>
        <w:adjustRightInd w:val="0"/>
        <w:spacing w:after="240"/>
        <w:jc w:val="both"/>
        <w:rPr>
          <w:rFonts w:ascii="Clara Sans" w:hAnsi="Clara Sans"/>
          <w:lang w:val="en-GB"/>
        </w:rPr>
      </w:pPr>
    </w:p>
    <w:p w14:paraId="50733FAC" w14:textId="4086B479" w:rsidR="00A826B7" w:rsidRPr="009D057A" w:rsidRDefault="00A826B7" w:rsidP="004136C6">
      <w:pPr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Clara Sans" w:hAnsi="Clara Sans"/>
          <w:lang w:val="en-GB"/>
        </w:rPr>
      </w:pPr>
      <w:r w:rsidRPr="009D057A">
        <w:rPr>
          <w:rFonts w:ascii="Clara Sans" w:hAnsi="Clara Sans"/>
          <w:lang w:val="en-GB"/>
        </w:rPr>
        <w:lastRenderedPageBreak/>
        <w:t>In exceptional cases worthy of special consideration, it is possible to exceed the limit set out in the previous paragraph.</w:t>
      </w:r>
    </w:p>
    <w:p w14:paraId="21F2D103" w14:textId="6EF8C488" w:rsidR="004136C6" w:rsidRPr="009D057A" w:rsidRDefault="00231098" w:rsidP="004136C6">
      <w:pPr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Clara Sans" w:hAnsi="Clara Sans"/>
          <w:lang w:val="en-GB"/>
        </w:rPr>
      </w:pPr>
      <w:r w:rsidRPr="009D057A">
        <w:rPr>
          <w:rFonts w:ascii="Clara Sans" w:hAnsi="Clara Sans" w:cs="Calibri"/>
          <w:spacing w:val="10"/>
          <w:kern w:val="20"/>
          <w:lang w:val="en-GB"/>
        </w:rPr>
        <w:t xml:space="preserve">In addition to the contractual </w:t>
      </w:r>
      <w:r w:rsidR="006D75ED">
        <w:rPr>
          <w:rFonts w:ascii="Clara Sans" w:hAnsi="Clara Sans" w:cs="Calibri"/>
          <w:spacing w:val="10"/>
          <w:kern w:val="20"/>
          <w:lang w:val="en-GB"/>
        </w:rPr>
        <w:t>salary</w:t>
      </w:r>
      <w:r w:rsidRPr="009D057A">
        <w:rPr>
          <w:rFonts w:ascii="Clara Sans" w:hAnsi="Clara Sans" w:cs="Calibri"/>
          <w:spacing w:val="10"/>
          <w:kern w:val="20"/>
          <w:lang w:val="en-GB"/>
        </w:rPr>
        <w:t xml:space="preserve">, the employee may be awarded additional bonuses, </w:t>
      </w:r>
      <w:r w:rsidR="00D65F35">
        <w:rPr>
          <w:rFonts w:ascii="Clara Sans" w:hAnsi="Clara Sans" w:cs="Calibri"/>
          <w:spacing w:val="10"/>
          <w:kern w:val="20"/>
          <w:lang w:val="en-GB"/>
        </w:rPr>
        <w:t>allowances,</w:t>
      </w:r>
      <w:r w:rsidRPr="009D057A">
        <w:rPr>
          <w:rFonts w:ascii="Clara Sans" w:hAnsi="Clara Sans" w:cs="Calibri"/>
          <w:spacing w:val="10"/>
          <w:kern w:val="20"/>
          <w:lang w:val="en-GB"/>
        </w:rPr>
        <w:t xml:space="preserve"> and remuneration, under the conditions set out in the </w:t>
      </w:r>
      <w:r w:rsidR="006D75ED">
        <w:rPr>
          <w:rFonts w:ascii="Clara Sans" w:hAnsi="Clara Sans" w:cs="Calibri"/>
          <w:spacing w:val="10"/>
          <w:kern w:val="20"/>
          <w:lang w:val="en-GB"/>
        </w:rPr>
        <w:t>Salary</w:t>
      </w:r>
      <w:r w:rsidR="00D65F35" w:rsidRPr="00AB7BC3">
        <w:rPr>
          <w:rFonts w:ascii="Clara Sans" w:hAnsi="Clara Sans" w:cs="Calibri"/>
          <w:spacing w:val="10"/>
          <w:kern w:val="20"/>
          <w:lang w:val="en-GB"/>
        </w:rPr>
        <w:t xml:space="preserve"> Regulations of the USB</w:t>
      </w:r>
      <w:r w:rsidR="00D65F35" w:rsidRPr="009D057A">
        <w:rPr>
          <w:rFonts w:ascii="Clara Sans" w:hAnsi="Clara Sans" w:cs="Calibri"/>
          <w:spacing w:val="10"/>
          <w:kern w:val="20"/>
          <w:lang w:val="en-GB"/>
        </w:rPr>
        <w:t xml:space="preserve"> </w:t>
      </w:r>
      <w:r w:rsidRPr="009D057A">
        <w:rPr>
          <w:rFonts w:ascii="Clara Sans" w:hAnsi="Clara Sans" w:cs="Calibri"/>
          <w:spacing w:val="10"/>
          <w:kern w:val="20"/>
          <w:lang w:val="en-GB"/>
        </w:rPr>
        <w:t xml:space="preserve">or another internal regulation of the USB or </w:t>
      </w:r>
      <w:r w:rsidR="00D65F35">
        <w:rPr>
          <w:rFonts w:ascii="Clara Sans" w:hAnsi="Clara Sans" w:cs="Calibri"/>
          <w:spacing w:val="10"/>
          <w:kern w:val="20"/>
          <w:lang w:val="en-GB"/>
        </w:rPr>
        <w:t>FSci</w:t>
      </w:r>
      <w:r w:rsidRPr="009D057A">
        <w:rPr>
          <w:rFonts w:ascii="Clara Sans" w:hAnsi="Clara Sans" w:cs="Calibri"/>
          <w:spacing w:val="10"/>
          <w:kern w:val="20"/>
          <w:lang w:val="en-GB"/>
        </w:rPr>
        <w:t>.</w:t>
      </w:r>
    </w:p>
    <w:p w14:paraId="4E2C6152" w14:textId="77777777" w:rsidR="00530A94" w:rsidRPr="009D057A" w:rsidRDefault="00530A94" w:rsidP="004136C6">
      <w:pPr>
        <w:tabs>
          <w:tab w:val="left" w:pos="7665"/>
        </w:tabs>
        <w:autoSpaceDE w:val="0"/>
        <w:autoSpaceDN w:val="0"/>
        <w:adjustRightInd w:val="0"/>
        <w:spacing w:after="240"/>
        <w:jc w:val="center"/>
        <w:rPr>
          <w:rFonts w:ascii="Clara Sans" w:hAnsi="Clara Sans"/>
          <w:lang w:val="en-GB"/>
        </w:rPr>
      </w:pPr>
    </w:p>
    <w:p w14:paraId="2FEE292E" w14:textId="77777777" w:rsidR="00530A94" w:rsidRPr="009D057A" w:rsidRDefault="00530A94" w:rsidP="004136C6">
      <w:pPr>
        <w:tabs>
          <w:tab w:val="left" w:pos="7665"/>
        </w:tabs>
        <w:autoSpaceDE w:val="0"/>
        <w:autoSpaceDN w:val="0"/>
        <w:adjustRightInd w:val="0"/>
        <w:spacing w:after="240"/>
        <w:jc w:val="center"/>
        <w:rPr>
          <w:rFonts w:ascii="Clara Sans" w:hAnsi="Clara Sans"/>
          <w:lang w:val="en-GB"/>
        </w:rPr>
      </w:pPr>
    </w:p>
    <w:p w14:paraId="7B49130A" w14:textId="179E534B" w:rsidR="004136C6" w:rsidRPr="009D057A" w:rsidRDefault="004136C6" w:rsidP="004136C6">
      <w:pPr>
        <w:tabs>
          <w:tab w:val="left" w:pos="7665"/>
        </w:tabs>
        <w:autoSpaceDE w:val="0"/>
        <w:autoSpaceDN w:val="0"/>
        <w:adjustRightInd w:val="0"/>
        <w:spacing w:after="240"/>
        <w:jc w:val="center"/>
        <w:rPr>
          <w:rFonts w:ascii="Clara Sans" w:hAnsi="Clara Sans"/>
          <w:lang w:val="en-GB"/>
        </w:rPr>
      </w:pPr>
      <w:r w:rsidRPr="009D057A">
        <w:rPr>
          <w:rFonts w:ascii="Clara Sans" w:hAnsi="Clara Sans"/>
          <w:lang w:val="en-GB"/>
        </w:rPr>
        <w:t>Article III</w:t>
      </w:r>
    </w:p>
    <w:p w14:paraId="3D6C5441" w14:textId="77777777" w:rsidR="004136C6" w:rsidRPr="009D057A" w:rsidRDefault="004136C6" w:rsidP="004136C6">
      <w:pPr>
        <w:tabs>
          <w:tab w:val="left" w:pos="7665"/>
        </w:tabs>
        <w:autoSpaceDE w:val="0"/>
        <w:autoSpaceDN w:val="0"/>
        <w:adjustRightInd w:val="0"/>
        <w:spacing w:after="240"/>
        <w:jc w:val="center"/>
        <w:rPr>
          <w:rFonts w:ascii="Clara Sans" w:hAnsi="Clara Sans"/>
          <w:lang w:val="en-GB"/>
        </w:rPr>
      </w:pPr>
      <w:r w:rsidRPr="009D057A">
        <w:rPr>
          <w:rFonts w:ascii="Clara Sans" w:hAnsi="Clara Sans"/>
          <w:lang w:val="en-GB"/>
        </w:rPr>
        <w:t>Other provisions</w:t>
      </w:r>
    </w:p>
    <w:p w14:paraId="7A6B0110" w14:textId="739CC14D" w:rsidR="00D90D95" w:rsidRDefault="00D90D95" w:rsidP="000F4694">
      <w:pPr>
        <w:tabs>
          <w:tab w:val="left" w:pos="7665"/>
        </w:tabs>
        <w:autoSpaceDE w:val="0"/>
        <w:autoSpaceDN w:val="0"/>
        <w:adjustRightInd w:val="0"/>
        <w:jc w:val="both"/>
        <w:rPr>
          <w:rFonts w:ascii="Clara Sans" w:hAnsi="Clara Sans"/>
          <w:lang w:val="en-GB"/>
        </w:rPr>
      </w:pPr>
      <w:r w:rsidRPr="009D057A">
        <w:rPr>
          <w:rFonts w:ascii="Clara Sans" w:hAnsi="Clara Sans"/>
          <w:lang w:val="en-GB"/>
        </w:rPr>
        <w:t>This methodology</w:t>
      </w:r>
      <w:r w:rsidR="000F4694">
        <w:rPr>
          <w:rFonts w:ascii="Clara Sans" w:hAnsi="Clara Sans"/>
          <w:lang w:val="en-GB"/>
        </w:rPr>
        <w:t xml:space="preserve"> replaces its version from </w:t>
      </w:r>
      <w:r w:rsidR="009F45A0">
        <w:rPr>
          <w:rFonts w:ascii="Clara Sans" w:hAnsi="Clara Sans"/>
          <w:lang w:val="en-GB"/>
        </w:rPr>
        <w:t>11</w:t>
      </w:r>
      <w:r w:rsidR="009F45A0" w:rsidRPr="009F45A0">
        <w:rPr>
          <w:rFonts w:ascii="Clara Sans" w:hAnsi="Clara Sans"/>
          <w:vertAlign w:val="superscript"/>
          <w:lang w:val="en-GB"/>
        </w:rPr>
        <w:t>th</w:t>
      </w:r>
      <w:r w:rsidR="009F45A0">
        <w:rPr>
          <w:rFonts w:ascii="Clara Sans" w:hAnsi="Clara Sans"/>
          <w:lang w:val="en-GB"/>
        </w:rPr>
        <w:t xml:space="preserve"> of March 2025.</w:t>
      </w:r>
    </w:p>
    <w:p w14:paraId="7FE9118F" w14:textId="4CA1E8C1" w:rsidR="004136C6" w:rsidRPr="009D057A" w:rsidRDefault="00845B32" w:rsidP="004F016B">
      <w:pPr>
        <w:tabs>
          <w:tab w:val="left" w:pos="7665"/>
        </w:tabs>
        <w:autoSpaceDE w:val="0"/>
        <w:autoSpaceDN w:val="0"/>
        <w:adjustRightInd w:val="0"/>
        <w:spacing w:after="240"/>
        <w:jc w:val="both"/>
        <w:rPr>
          <w:rFonts w:ascii="Clara Sans" w:hAnsi="Clara Sans"/>
          <w:lang w:val="en-GB"/>
        </w:rPr>
      </w:pPr>
      <w:r w:rsidRPr="009D057A">
        <w:rPr>
          <w:rFonts w:ascii="Clara Sans" w:hAnsi="Clara Sans"/>
          <w:lang w:val="en-GB"/>
        </w:rPr>
        <w:t xml:space="preserve">This methodology comes into effect from </w:t>
      </w:r>
      <w:r w:rsidR="00D90D95" w:rsidRPr="00D90D95">
        <w:rPr>
          <w:rFonts w:ascii="Clara Sans" w:hAnsi="Clara Sans"/>
          <w:lang w:val="en-GB"/>
        </w:rPr>
        <w:t>4th of November 2025</w:t>
      </w:r>
      <w:r w:rsidR="00D90D95">
        <w:rPr>
          <w:rFonts w:ascii="Clara Sans" w:hAnsi="Clara Sans"/>
          <w:lang w:val="en-GB"/>
        </w:rPr>
        <w:t>.</w:t>
      </w:r>
    </w:p>
    <w:p w14:paraId="13896372" w14:textId="77777777" w:rsidR="009F45A0" w:rsidRDefault="009F45A0" w:rsidP="001C4301">
      <w:pPr>
        <w:tabs>
          <w:tab w:val="left" w:pos="4050"/>
        </w:tabs>
        <w:spacing w:after="240"/>
        <w:jc w:val="both"/>
        <w:rPr>
          <w:rFonts w:ascii="Clara Sans" w:hAnsi="Clara Sans" w:cs="Calibri"/>
          <w:lang w:val="en-GB"/>
        </w:rPr>
      </w:pPr>
    </w:p>
    <w:p w14:paraId="5075C9D7" w14:textId="7635BA82" w:rsidR="004136C6" w:rsidRDefault="004136C6" w:rsidP="001C4301">
      <w:pPr>
        <w:tabs>
          <w:tab w:val="left" w:pos="4050"/>
        </w:tabs>
        <w:spacing w:after="240"/>
        <w:jc w:val="both"/>
        <w:rPr>
          <w:rFonts w:ascii="Clara Sans" w:hAnsi="Clara Sans" w:cs="Calibri"/>
          <w:lang w:val="en-GB"/>
        </w:rPr>
      </w:pPr>
      <w:r w:rsidRPr="009D057A">
        <w:rPr>
          <w:rFonts w:ascii="Clara Sans" w:hAnsi="Clara Sans" w:cs="Calibri"/>
          <w:lang w:val="en-GB"/>
        </w:rPr>
        <w:t xml:space="preserve">In </w:t>
      </w:r>
      <w:proofErr w:type="spellStart"/>
      <w:r w:rsidRPr="009D057A">
        <w:rPr>
          <w:rFonts w:ascii="Clara Sans" w:hAnsi="Clara Sans" w:cs="Calibri"/>
          <w:lang w:val="en-GB"/>
        </w:rPr>
        <w:t>České</w:t>
      </w:r>
      <w:proofErr w:type="spellEnd"/>
      <w:r w:rsidRPr="009D057A">
        <w:rPr>
          <w:rFonts w:ascii="Clara Sans" w:hAnsi="Clara Sans" w:cs="Calibri"/>
          <w:lang w:val="en-GB"/>
        </w:rPr>
        <w:t xml:space="preserve"> Budějovice</w:t>
      </w:r>
    </w:p>
    <w:p w14:paraId="3BF51DF8" w14:textId="77777777" w:rsidR="004E661C" w:rsidRDefault="004E661C" w:rsidP="001C4301">
      <w:pPr>
        <w:tabs>
          <w:tab w:val="left" w:pos="4050"/>
        </w:tabs>
        <w:spacing w:after="240"/>
        <w:jc w:val="both"/>
        <w:rPr>
          <w:rFonts w:ascii="Clara Sans" w:hAnsi="Clara Sans" w:cs="Calibri"/>
          <w:lang w:val="en-GB"/>
        </w:rPr>
      </w:pPr>
    </w:p>
    <w:p w14:paraId="452B0675" w14:textId="77777777" w:rsidR="007555A3" w:rsidRDefault="007555A3" w:rsidP="001C4301">
      <w:pPr>
        <w:tabs>
          <w:tab w:val="left" w:pos="4050"/>
        </w:tabs>
        <w:spacing w:after="240"/>
        <w:jc w:val="both"/>
        <w:rPr>
          <w:rFonts w:ascii="Clara Sans" w:hAnsi="Clara Sans" w:cs="Calibri"/>
          <w:lang w:val="en-GB"/>
        </w:rPr>
      </w:pPr>
    </w:p>
    <w:p w14:paraId="14D00854" w14:textId="77777777" w:rsidR="004E661C" w:rsidRDefault="004E661C" w:rsidP="001C4301">
      <w:pPr>
        <w:tabs>
          <w:tab w:val="left" w:pos="4050"/>
        </w:tabs>
        <w:spacing w:after="240"/>
        <w:jc w:val="both"/>
        <w:rPr>
          <w:rFonts w:ascii="Clara Sans" w:hAnsi="Clara Sans" w:cs="Calibri"/>
          <w:lang w:val="en-GB"/>
        </w:rPr>
      </w:pPr>
    </w:p>
    <w:p w14:paraId="1A56E4DC" w14:textId="77777777" w:rsidR="004E661C" w:rsidRDefault="004E661C" w:rsidP="001C4301">
      <w:pPr>
        <w:tabs>
          <w:tab w:val="left" w:pos="4050"/>
        </w:tabs>
        <w:spacing w:after="240"/>
        <w:jc w:val="both"/>
        <w:rPr>
          <w:rFonts w:ascii="Clara Sans" w:hAnsi="Clara Sans" w:cs="Calibri"/>
          <w:lang w:val="en-GB"/>
        </w:rPr>
      </w:pPr>
    </w:p>
    <w:p w14:paraId="36231561" w14:textId="77777777" w:rsidR="004E661C" w:rsidRDefault="004E661C" w:rsidP="001C4301">
      <w:pPr>
        <w:tabs>
          <w:tab w:val="left" w:pos="4050"/>
        </w:tabs>
        <w:spacing w:after="240"/>
        <w:jc w:val="both"/>
        <w:rPr>
          <w:rFonts w:ascii="Clara Sans" w:hAnsi="Clara Sans" w:cs="Calibri"/>
          <w:lang w:val="en-GB"/>
        </w:rPr>
      </w:pPr>
    </w:p>
    <w:p w14:paraId="1E3AD61A" w14:textId="77777777" w:rsidR="004E661C" w:rsidRPr="00C12671" w:rsidRDefault="004E661C" w:rsidP="004E661C">
      <w:pPr>
        <w:tabs>
          <w:tab w:val="left" w:pos="7665"/>
        </w:tabs>
        <w:autoSpaceDE w:val="0"/>
        <w:autoSpaceDN w:val="0"/>
        <w:adjustRightInd w:val="0"/>
        <w:jc w:val="both"/>
        <w:rPr>
          <w:rFonts w:ascii="Clara Sans" w:hAnsi="Clara Sans"/>
        </w:rPr>
      </w:pPr>
      <w:r w:rsidRPr="00C12671">
        <w:rPr>
          <w:rFonts w:ascii="Clara Sans" w:hAnsi="Clara Sans"/>
        </w:rPr>
        <w:t>prof. RNDr. František Vácha, Ph.D.</w:t>
      </w:r>
    </w:p>
    <w:p w14:paraId="5234593E" w14:textId="465CA846" w:rsidR="004E661C" w:rsidRPr="00C12671" w:rsidRDefault="004E661C" w:rsidP="004E661C">
      <w:pPr>
        <w:tabs>
          <w:tab w:val="left" w:pos="7665"/>
        </w:tabs>
        <w:autoSpaceDE w:val="0"/>
        <w:autoSpaceDN w:val="0"/>
        <w:adjustRightInd w:val="0"/>
        <w:spacing w:after="240"/>
        <w:jc w:val="both"/>
        <w:rPr>
          <w:rFonts w:ascii="Clara Sans" w:hAnsi="Clara Sans"/>
        </w:rPr>
      </w:pPr>
      <w:proofErr w:type="spellStart"/>
      <w:r w:rsidRPr="00C12671">
        <w:rPr>
          <w:rFonts w:ascii="Clara Sans" w:hAnsi="Clara Sans"/>
        </w:rPr>
        <w:t>d</w:t>
      </w:r>
      <w:r>
        <w:rPr>
          <w:rFonts w:ascii="Clara Sans" w:hAnsi="Clara Sans"/>
        </w:rPr>
        <w:t>ean</w:t>
      </w:r>
      <w:proofErr w:type="spellEnd"/>
      <w:r>
        <w:rPr>
          <w:rFonts w:ascii="Clara Sans" w:hAnsi="Clara Sans"/>
        </w:rPr>
        <w:t xml:space="preserve"> </w:t>
      </w:r>
      <w:proofErr w:type="spellStart"/>
      <w:r>
        <w:rPr>
          <w:rFonts w:ascii="Clara Sans" w:hAnsi="Clara Sans"/>
        </w:rPr>
        <w:t>of</w:t>
      </w:r>
      <w:proofErr w:type="spellEnd"/>
      <w:r>
        <w:rPr>
          <w:rFonts w:ascii="Clara Sans" w:hAnsi="Clara Sans"/>
        </w:rPr>
        <w:t xml:space="preserve"> </w:t>
      </w:r>
      <w:proofErr w:type="spellStart"/>
      <w:r>
        <w:rPr>
          <w:rFonts w:ascii="Clara Sans" w:hAnsi="Clara Sans"/>
        </w:rPr>
        <w:t>the</w:t>
      </w:r>
      <w:proofErr w:type="spellEnd"/>
      <w:r>
        <w:rPr>
          <w:rFonts w:ascii="Clara Sans" w:hAnsi="Clara Sans"/>
        </w:rPr>
        <w:t xml:space="preserve"> </w:t>
      </w:r>
      <w:proofErr w:type="spellStart"/>
      <w:r>
        <w:rPr>
          <w:rFonts w:ascii="Clara Sans" w:hAnsi="Clara Sans"/>
        </w:rPr>
        <w:t>faculty</w:t>
      </w:r>
      <w:proofErr w:type="spellEnd"/>
    </w:p>
    <w:p w14:paraId="14B927DC" w14:textId="77777777" w:rsidR="004E661C" w:rsidRPr="009D057A" w:rsidRDefault="004E661C" w:rsidP="001C4301">
      <w:pPr>
        <w:tabs>
          <w:tab w:val="left" w:pos="4050"/>
        </w:tabs>
        <w:spacing w:after="240"/>
        <w:jc w:val="both"/>
        <w:rPr>
          <w:rFonts w:ascii="Clara Sans" w:hAnsi="Clara Sans"/>
          <w:lang w:val="en-GB"/>
        </w:rPr>
      </w:pPr>
    </w:p>
    <w:sectPr w:rsidR="004E661C" w:rsidRPr="009D057A" w:rsidSect="00A43094">
      <w:headerReference w:type="default" r:id="rId8"/>
      <w:footerReference w:type="default" r:id="rId9"/>
      <w:footnotePr>
        <w:numFmt w:val="chicago"/>
      </w:footnotePr>
      <w:pgSz w:w="11906" w:h="16838"/>
      <w:pgMar w:top="1417" w:right="1417" w:bottom="1417" w:left="1417" w:header="7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E7383" w14:textId="77777777" w:rsidR="00693AF9" w:rsidRDefault="00693AF9" w:rsidP="001753C6">
      <w:r>
        <w:separator/>
      </w:r>
    </w:p>
  </w:endnote>
  <w:endnote w:type="continuationSeparator" w:id="0">
    <w:p w14:paraId="6D2E33CE" w14:textId="77777777" w:rsidR="00693AF9" w:rsidRDefault="00693AF9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altName w:val="Calibri"/>
    <w:charset w:val="EE"/>
    <w:family w:val="auto"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9847" w14:textId="6919FB3B" w:rsidR="00E541BC" w:rsidRPr="00F26610" w:rsidRDefault="0035261B" w:rsidP="0035261B">
    <w:pPr>
      <w:pStyle w:val="Zpat"/>
      <w:rPr>
        <w:lang w:val="en-GB"/>
      </w:rPr>
    </w:pPr>
    <w:r w:rsidRPr="00F26610">
      <w:rPr>
        <w:rFonts w:ascii="Clara Sans" w:hAnsi="Clara Sans" w:cs="Calibri"/>
        <w:sz w:val="18"/>
        <w:szCs w:val="18"/>
        <w:lang w:val="en-GB"/>
      </w:rPr>
      <w:t xml:space="preserve">Methodology of the Faculty of Science for the USB </w:t>
    </w:r>
    <w:r w:rsidR="006D75ED">
      <w:rPr>
        <w:rFonts w:ascii="Clara Sans" w:hAnsi="Clara Sans" w:cs="Calibri"/>
        <w:sz w:val="18"/>
        <w:szCs w:val="18"/>
        <w:lang w:val="en-GB"/>
      </w:rPr>
      <w:t>Salary</w:t>
    </w:r>
    <w:r w:rsidRPr="00F26610">
      <w:rPr>
        <w:rFonts w:ascii="Clara Sans" w:hAnsi="Clara Sans" w:cs="Calibri"/>
        <w:sz w:val="18"/>
        <w:szCs w:val="18"/>
        <w:lang w:val="en-GB"/>
      </w:rPr>
      <w:t xml:space="preserve"> Regulation Regulating the Level of Wages in Highly Competitive Grant Competitions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8CE3F" w14:textId="77777777" w:rsidR="00693AF9" w:rsidRDefault="00693AF9" w:rsidP="001753C6">
      <w:r>
        <w:separator/>
      </w:r>
    </w:p>
  </w:footnote>
  <w:footnote w:type="continuationSeparator" w:id="0">
    <w:p w14:paraId="0DD88603" w14:textId="77777777" w:rsidR="00693AF9" w:rsidRDefault="00693AF9" w:rsidP="001753C6">
      <w:r>
        <w:continuationSeparator/>
      </w:r>
    </w:p>
  </w:footnote>
  <w:footnote w:id="1">
    <w:p w14:paraId="1C155CF5" w14:textId="3CC828E1" w:rsidR="00F26610" w:rsidRPr="00F26610" w:rsidRDefault="00F26610">
      <w:pPr>
        <w:pStyle w:val="Textpoznpodarou"/>
        <w:rPr>
          <w:lang w:val="en-GB"/>
        </w:rPr>
      </w:pPr>
      <w:r w:rsidRPr="00F26610">
        <w:rPr>
          <w:rStyle w:val="Znakapoznpodarou"/>
          <w:lang w:val="en-GB"/>
        </w:rPr>
        <w:footnoteRef/>
      </w:r>
      <w:r w:rsidRPr="00F26610">
        <w:rPr>
          <w:lang w:val="en-GB"/>
        </w:rPr>
        <w:t xml:space="preserve"> In the methodology for the </w:t>
      </w:r>
      <w:r>
        <w:rPr>
          <w:lang w:val="en-GB"/>
        </w:rPr>
        <w:t>WR</w:t>
      </w:r>
      <w:r w:rsidRPr="00F26610">
        <w:rPr>
          <w:lang w:val="en-GB"/>
        </w:rPr>
        <w:t xml:space="preserve">, this refers to the </w:t>
      </w:r>
      <w:r w:rsidR="006D75ED">
        <w:rPr>
          <w:lang w:val="en-GB"/>
        </w:rPr>
        <w:t>salary</w:t>
      </w:r>
      <w:r w:rsidRPr="00F26610">
        <w:rPr>
          <w:lang w:val="en-GB"/>
        </w:rPr>
        <w:t xml:space="preserve"> tariff column according to the </w:t>
      </w:r>
      <w:r>
        <w:rPr>
          <w:lang w:val="en-GB"/>
        </w:rPr>
        <w:t>WR USB</w:t>
      </w:r>
      <w:r w:rsidRPr="00F26610">
        <w:rPr>
          <w:lang w:val="en-GB"/>
        </w:rPr>
        <w:t xml:space="preserve"> without other </w:t>
      </w:r>
      <w:r w:rsidR="006D75ED">
        <w:rPr>
          <w:lang w:val="en-GB"/>
        </w:rPr>
        <w:t>salary</w:t>
      </w:r>
      <w:r w:rsidRPr="00F26610">
        <w:rPr>
          <w:lang w:val="en-GB"/>
        </w:rPr>
        <w:t xml:space="preserve"> components.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18"/>
      <w:gridCol w:w="3213"/>
    </w:tblGrid>
    <w:tr w:rsidR="00DA531B" w:rsidRPr="00A43094" w14:paraId="78410B40" w14:textId="77777777" w:rsidTr="00FC787D">
      <w:tc>
        <w:tcPr>
          <w:tcW w:w="6345" w:type="dxa"/>
        </w:tcPr>
        <w:p w14:paraId="60A9EA78" w14:textId="2EEE8F7F" w:rsidR="00DA531B" w:rsidRPr="00A43094" w:rsidRDefault="00A064CA" w:rsidP="00FC787D">
          <w:pPr>
            <w:pStyle w:val="Zhlav"/>
            <w:tabs>
              <w:tab w:val="clear" w:pos="9072"/>
            </w:tabs>
            <w:ind w:left="-108" w:right="-567"/>
            <w:rPr>
              <w:rFonts w:ascii="Clara Sans" w:hAnsi="Clara Sans"/>
            </w:rPr>
          </w:pPr>
          <w:r>
            <w:rPr>
              <w:rFonts w:ascii="Clara Sans" w:hAnsi="Clara Sans"/>
              <w:noProof/>
            </w:rPr>
            <w:drawing>
              <wp:inline distT="0" distB="0" distL="0" distR="0" wp14:anchorId="16FBFFA1" wp14:editId="50217767">
                <wp:extent cx="3476625" cy="6381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66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</w:tcPr>
        <w:p w14:paraId="7194F0AE" w14:textId="77777777" w:rsidR="00233724" w:rsidRPr="00A43094" w:rsidRDefault="00535743" w:rsidP="00CD4802">
          <w:pPr>
            <w:autoSpaceDE w:val="0"/>
            <w:autoSpaceDN w:val="0"/>
            <w:adjustRightInd w:val="0"/>
            <w:spacing w:before="120"/>
            <w:ind w:right="-108"/>
            <w:jc w:val="right"/>
            <w:rPr>
              <w:rFonts w:ascii="Clara Sans" w:hAnsi="Clara Sans" w:cs="Calibri"/>
              <w:sz w:val="18"/>
              <w:szCs w:val="18"/>
            </w:rPr>
          </w:pPr>
          <w:r w:rsidRPr="00A43094">
            <w:rPr>
              <w:rFonts w:ascii="Clara Sans" w:hAnsi="Clara Sans" w:cs="Calibri"/>
              <w:sz w:val="18"/>
              <w:szCs w:val="18"/>
            </w:rPr>
            <w:t>prof. RNDr. František Vácha, Ph.D.</w:t>
          </w:r>
        </w:p>
        <w:p w14:paraId="79E24369" w14:textId="77777777" w:rsidR="00DA531B" w:rsidRPr="00A43094" w:rsidRDefault="00233724" w:rsidP="00CD4802">
          <w:pPr>
            <w:pStyle w:val="Zhlav"/>
            <w:tabs>
              <w:tab w:val="clear" w:pos="4536"/>
              <w:tab w:val="clear" w:pos="9072"/>
              <w:tab w:val="right" w:pos="9639"/>
            </w:tabs>
            <w:spacing w:before="20"/>
            <w:ind w:left="113" w:right="-108"/>
            <w:jc w:val="right"/>
            <w:rPr>
              <w:rFonts w:ascii="Clara Sans" w:hAnsi="Clara Sans" w:cs="Calibri"/>
            </w:rPr>
          </w:pPr>
          <w:r w:rsidRPr="00A43094">
            <w:rPr>
              <w:rFonts w:ascii="Clara Sans" w:hAnsi="Clara Sans" w:cs="Calibri"/>
              <w:sz w:val="18"/>
              <w:szCs w:val="18"/>
            </w:rPr>
            <w:t xml:space="preserve">Dean </w:t>
          </w:r>
          <w:proofErr w:type="spellStart"/>
          <w:r w:rsidRPr="00A43094">
            <w:rPr>
              <w:rFonts w:ascii="Clara Sans" w:hAnsi="Clara Sans" w:cs="Calibri"/>
              <w:color w:val="428A79"/>
              <w:sz w:val="18"/>
              <w:szCs w:val="18"/>
            </w:rPr>
            <w:t>Dean</w:t>
          </w:r>
          <w:proofErr w:type="spellEnd"/>
        </w:p>
      </w:tc>
    </w:tr>
  </w:tbl>
  <w:p w14:paraId="72599D0B" w14:textId="77777777" w:rsidR="001753C6" w:rsidRPr="00A43094" w:rsidRDefault="001753C6" w:rsidP="00233724">
    <w:pPr>
      <w:pStyle w:val="Zhlav"/>
      <w:ind w:left="-567"/>
      <w:rPr>
        <w:rFonts w:ascii="Clara Sans" w:hAnsi="Clara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D3134"/>
    <w:multiLevelType w:val="hybridMultilevel"/>
    <w:tmpl w:val="DD744DC0"/>
    <w:lvl w:ilvl="0" w:tplc="3E56CE38">
      <w:start w:val="1"/>
      <w:numFmt w:val="decimal"/>
      <w:lvlText w:val="%1)"/>
      <w:lvlJc w:val="left"/>
      <w:pPr>
        <w:ind w:left="720" w:hanging="360"/>
      </w:pPr>
      <w:rPr>
        <w:rFonts w:ascii="Clara Sans" w:eastAsia="Times New Roman" w:hAnsi="Clara Sans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A371F"/>
    <w:multiLevelType w:val="hybridMultilevel"/>
    <w:tmpl w:val="0430ED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956769">
    <w:abstractNumId w:val="1"/>
  </w:num>
  <w:num w:numId="2" w16cid:durableId="139450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75"/>
    <w:rsid w:val="00010767"/>
    <w:rsid w:val="00024E56"/>
    <w:rsid w:val="0002716A"/>
    <w:rsid w:val="0003679A"/>
    <w:rsid w:val="000371A4"/>
    <w:rsid w:val="0004580B"/>
    <w:rsid w:val="00051609"/>
    <w:rsid w:val="00051E5A"/>
    <w:rsid w:val="00053322"/>
    <w:rsid w:val="000540A0"/>
    <w:rsid w:val="0005696A"/>
    <w:rsid w:val="00060D45"/>
    <w:rsid w:val="00061A34"/>
    <w:rsid w:val="00064AF1"/>
    <w:rsid w:val="0006557F"/>
    <w:rsid w:val="00071E0F"/>
    <w:rsid w:val="00081D3B"/>
    <w:rsid w:val="00083E84"/>
    <w:rsid w:val="00086232"/>
    <w:rsid w:val="0008728E"/>
    <w:rsid w:val="00087F59"/>
    <w:rsid w:val="00090803"/>
    <w:rsid w:val="00096912"/>
    <w:rsid w:val="000A2B6A"/>
    <w:rsid w:val="000A6CD8"/>
    <w:rsid w:val="000A6FCE"/>
    <w:rsid w:val="000C065B"/>
    <w:rsid w:val="000D4655"/>
    <w:rsid w:val="000D609D"/>
    <w:rsid w:val="000D697C"/>
    <w:rsid w:val="000E269D"/>
    <w:rsid w:val="000E31E9"/>
    <w:rsid w:val="000E3EA0"/>
    <w:rsid w:val="000E4268"/>
    <w:rsid w:val="000E5394"/>
    <w:rsid w:val="000E5A23"/>
    <w:rsid w:val="000E773F"/>
    <w:rsid w:val="000F2A9E"/>
    <w:rsid w:val="000F4694"/>
    <w:rsid w:val="000F4B16"/>
    <w:rsid w:val="000F6680"/>
    <w:rsid w:val="0010211C"/>
    <w:rsid w:val="00105F68"/>
    <w:rsid w:val="001075ED"/>
    <w:rsid w:val="00107A58"/>
    <w:rsid w:val="0011210E"/>
    <w:rsid w:val="00112A7D"/>
    <w:rsid w:val="00113295"/>
    <w:rsid w:val="00115225"/>
    <w:rsid w:val="00116118"/>
    <w:rsid w:val="001235BD"/>
    <w:rsid w:val="001235FB"/>
    <w:rsid w:val="00123830"/>
    <w:rsid w:val="0013048E"/>
    <w:rsid w:val="00130805"/>
    <w:rsid w:val="00132E38"/>
    <w:rsid w:val="00134ADA"/>
    <w:rsid w:val="00140EC9"/>
    <w:rsid w:val="00141726"/>
    <w:rsid w:val="00146D7F"/>
    <w:rsid w:val="001478DB"/>
    <w:rsid w:val="00151E27"/>
    <w:rsid w:val="0015229D"/>
    <w:rsid w:val="001529E1"/>
    <w:rsid w:val="00157D25"/>
    <w:rsid w:val="00162A80"/>
    <w:rsid w:val="00164259"/>
    <w:rsid w:val="00167414"/>
    <w:rsid w:val="001676AA"/>
    <w:rsid w:val="00173FF8"/>
    <w:rsid w:val="001753C6"/>
    <w:rsid w:val="00175A16"/>
    <w:rsid w:val="001778E1"/>
    <w:rsid w:val="00181D0A"/>
    <w:rsid w:val="00185C07"/>
    <w:rsid w:val="001A2E21"/>
    <w:rsid w:val="001A2F7F"/>
    <w:rsid w:val="001A48D9"/>
    <w:rsid w:val="001A646C"/>
    <w:rsid w:val="001B0928"/>
    <w:rsid w:val="001B7A19"/>
    <w:rsid w:val="001C2361"/>
    <w:rsid w:val="001C4301"/>
    <w:rsid w:val="001C686F"/>
    <w:rsid w:val="001C7BAF"/>
    <w:rsid w:val="001D222C"/>
    <w:rsid w:val="001D5298"/>
    <w:rsid w:val="001E335B"/>
    <w:rsid w:val="001E5BAA"/>
    <w:rsid w:val="001E688B"/>
    <w:rsid w:val="001E733E"/>
    <w:rsid w:val="001F0D8D"/>
    <w:rsid w:val="001F1B98"/>
    <w:rsid w:val="001F1EFD"/>
    <w:rsid w:val="001F2968"/>
    <w:rsid w:val="001F5278"/>
    <w:rsid w:val="001F5A1A"/>
    <w:rsid w:val="001F73B1"/>
    <w:rsid w:val="001F7812"/>
    <w:rsid w:val="002016E5"/>
    <w:rsid w:val="00205708"/>
    <w:rsid w:val="0020666F"/>
    <w:rsid w:val="00210AD0"/>
    <w:rsid w:val="002156C0"/>
    <w:rsid w:val="00223DBD"/>
    <w:rsid w:val="0022670A"/>
    <w:rsid w:val="00226A96"/>
    <w:rsid w:val="00231098"/>
    <w:rsid w:val="0023178C"/>
    <w:rsid w:val="00233724"/>
    <w:rsid w:val="00235D75"/>
    <w:rsid w:val="00245AC1"/>
    <w:rsid w:val="002549FE"/>
    <w:rsid w:val="00260646"/>
    <w:rsid w:val="00272153"/>
    <w:rsid w:val="00275E5E"/>
    <w:rsid w:val="00275F85"/>
    <w:rsid w:val="00276C76"/>
    <w:rsid w:val="00286AFD"/>
    <w:rsid w:val="00287B2B"/>
    <w:rsid w:val="002900E2"/>
    <w:rsid w:val="002917AB"/>
    <w:rsid w:val="002953F0"/>
    <w:rsid w:val="002A31E3"/>
    <w:rsid w:val="002B0501"/>
    <w:rsid w:val="002C12D0"/>
    <w:rsid w:val="002C2030"/>
    <w:rsid w:val="002C4E0B"/>
    <w:rsid w:val="002C4F5A"/>
    <w:rsid w:val="002C6FBF"/>
    <w:rsid w:val="002D0109"/>
    <w:rsid w:val="002D074E"/>
    <w:rsid w:val="002E577E"/>
    <w:rsid w:val="002E65BF"/>
    <w:rsid w:val="002F00A0"/>
    <w:rsid w:val="00306121"/>
    <w:rsid w:val="0031375E"/>
    <w:rsid w:val="00313A5D"/>
    <w:rsid w:val="00315A39"/>
    <w:rsid w:val="003226E0"/>
    <w:rsid w:val="0032463B"/>
    <w:rsid w:val="0032672B"/>
    <w:rsid w:val="00331187"/>
    <w:rsid w:val="00335145"/>
    <w:rsid w:val="00341384"/>
    <w:rsid w:val="0035261B"/>
    <w:rsid w:val="00352C14"/>
    <w:rsid w:val="0035566B"/>
    <w:rsid w:val="00367112"/>
    <w:rsid w:val="00376BAD"/>
    <w:rsid w:val="003800E5"/>
    <w:rsid w:val="003822CC"/>
    <w:rsid w:val="00384E82"/>
    <w:rsid w:val="00385E30"/>
    <w:rsid w:val="003875BD"/>
    <w:rsid w:val="003926ED"/>
    <w:rsid w:val="00396512"/>
    <w:rsid w:val="003970D4"/>
    <w:rsid w:val="00397F38"/>
    <w:rsid w:val="003A0433"/>
    <w:rsid w:val="003A541D"/>
    <w:rsid w:val="003A5636"/>
    <w:rsid w:val="003B7F10"/>
    <w:rsid w:val="003C3BC7"/>
    <w:rsid w:val="003C483D"/>
    <w:rsid w:val="003C72FB"/>
    <w:rsid w:val="003D17B7"/>
    <w:rsid w:val="003D38BD"/>
    <w:rsid w:val="003D48DB"/>
    <w:rsid w:val="003E2997"/>
    <w:rsid w:val="003E79C4"/>
    <w:rsid w:val="0040134A"/>
    <w:rsid w:val="0041207B"/>
    <w:rsid w:val="004136C6"/>
    <w:rsid w:val="00413EE3"/>
    <w:rsid w:val="004157E9"/>
    <w:rsid w:val="00423526"/>
    <w:rsid w:val="004310D9"/>
    <w:rsid w:val="004372E4"/>
    <w:rsid w:val="004377F5"/>
    <w:rsid w:val="00437BB7"/>
    <w:rsid w:val="004422A7"/>
    <w:rsid w:val="00445123"/>
    <w:rsid w:val="00450AFD"/>
    <w:rsid w:val="00453CDD"/>
    <w:rsid w:val="0046320B"/>
    <w:rsid w:val="00472FC7"/>
    <w:rsid w:val="00475DB3"/>
    <w:rsid w:val="00476282"/>
    <w:rsid w:val="00482B67"/>
    <w:rsid w:val="00494991"/>
    <w:rsid w:val="00496697"/>
    <w:rsid w:val="004A1A6F"/>
    <w:rsid w:val="004B3B5C"/>
    <w:rsid w:val="004B3D97"/>
    <w:rsid w:val="004B4A5D"/>
    <w:rsid w:val="004B7B31"/>
    <w:rsid w:val="004C0BC2"/>
    <w:rsid w:val="004C65B1"/>
    <w:rsid w:val="004D1ECB"/>
    <w:rsid w:val="004D5027"/>
    <w:rsid w:val="004E0E7A"/>
    <w:rsid w:val="004E20EB"/>
    <w:rsid w:val="004E4ACD"/>
    <w:rsid w:val="004E503C"/>
    <w:rsid w:val="004E54E7"/>
    <w:rsid w:val="004E58F9"/>
    <w:rsid w:val="004E661C"/>
    <w:rsid w:val="004E699D"/>
    <w:rsid w:val="004E6E4E"/>
    <w:rsid w:val="004E71C7"/>
    <w:rsid w:val="004F016B"/>
    <w:rsid w:val="004F027B"/>
    <w:rsid w:val="004F4A92"/>
    <w:rsid w:val="00503036"/>
    <w:rsid w:val="00503456"/>
    <w:rsid w:val="00505019"/>
    <w:rsid w:val="00507371"/>
    <w:rsid w:val="0050777A"/>
    <w:rsid w:val="00513AA9"/>
    <w:rsid w:val="00513B23"/>
    <w:rsid w:val="00520400"/>
    <w:rsid w:val="005218E0"/>
    <w:rsid w:val="0052271D"/>
    <w:rsid w:val="00530A94"/>
    <w:rsid w:val="005350BA"/>
    <w:rsid w:val="00535743"/>
    <w:rsid w:val="00536A28"/>
    <w:rsid w:val="00541839"/>
    <w:rsid w:val="00541EB1"/>
    <w:rsid w:val="00554B63"/>
    <w:rsid w:val="00555C6E"/>
    <w:rsid w:val="00564267"/>
    <w:rsid w:val="00573F4A"/>
    <w:rsid w:val="005750EE"/>
    <w:rsid w:val="005761DD"/>
    <w:rsid w:val="00576FFB"/>
    <w:rsid w:val="00580506"/>
    <w:rsid w:val="00582B76"/>
    <w:rsid w:val="005902B3"/>
    <w:rsid w:val="005915EF"/>
    <w:rsid w:val="00595825"/>
    <w:rsid w:val="005A2703"/>
    <w:rsid w:val="005A7019"/>
    <w:rsid w:val="005B56FF"/>
    <w:rsid w:val="005C0640"/>
    <w:rsid w:val="005C4B01"/>
    <w:rsid w:val="005C5613"/>
    <w:rsid w:val="005D178D"/>
    <w:rsid w:val="005D3EF3"/>
    <w:rsid w:val="005D4200"/>
    <w:rsid w:val="005F0A0B"/>
    <w:rsid w:val="005F16BE"/>
    <w:rsid w:val="005F18BE"/>
    <w:rsid w:val="005F3E9F"/>
    <w:rsid w:val="005F54D4"/>
    <w:rsid w:val="005F64D1"/>
    <w:rsid w:val="00602078"/>
    <w:rsid w:val="00604574"/>
    <w:rsid w:val="006108B3"/>
    <w:rsid w:val="0061339B"/>
    <w:rsid w:val="00616801"/>
    <w:rsid w:val="00623F64"/>
    <w:rsid w:val="00624417"/>
    <w:rsid w:val="0062577C"/>
    <w:rsid w:val="0063340A"/>
    <w:rsid w:val="00634F3D"/>
    <w:rsid w:val="00636428"/>
    <w:rsid w:val="00654EC6"/>
    <w:rsid w:val="0066156C"/>
    <w:rsid w:val="00670551"/>
    <w:rsid w:val="00672A7A"/>
    <w:rsid w:val="00673020"/>
    <w:rsid w:val="006779E6"/>
    <w:rsid w:val="00681C5E"/>
    <w:rsid w:val="0068504A"/>
    <w:rsid w:val="00685D66"/>
    <w:rsid w:val="006915F0"/>
    <w:rsid w:val="00693AF9"/>
    <w:rsid w:val="006A44E0"/>
    <w:rsid w:val="006A62C3"/>
    <w:rsid w:val="006A79A2"/>
    <w:rsid w:val="006B1408"/>
    <w:rsid w:val="006B478A"/>
    <w:rsid w:val="006D0F58"/>
    <w:rsid w:val="006D127D"/>
    <w:rsid w:val="006D75ED"/>
    <w:rsid w:val="006E10A1"/>
    <w:rsid w:val="006E134A"/>
    <w:rsid w:val="006E2E78"/>
    <w:rsid w:val="006E3257"/>
    <w:rsid w:val="006E51EA"/>
    <w:rsid w:val="006E6E41"/>
    <w:rsid w:val="006F0714"/>
    <w:rsid w:val="006F0DC6"/>
    <w:rsid w:val="006F4985"/>
    <w:rsid w:val="006F7F81"/>
    <w:rsid w:val="007072CC"/>
    <w:rsid w:val="00707760"/>
    <w:rsid w:val="00713A91"/>
    <w:rsid w:val="00715818"/>
    <w:rsid w:val="0072281F"/>
    <w:rsid w:val="00730F01"/>
    <w:rsid w:val="00731978"/>
    <w:rsid w:val="0073311D"/>
    <w:rsid w:val="00736FF0"/>
    <w:rsid w:val="007378D6"/>
    <w:rsid w:val="0074015A"/>
    <w:rsid w:val="007403BD"/>
    <w:rsid w:val="00742EF2"/>
    <w:rsid w:val="007548DA"/>
    <w:rsid w:val="007555A3"/>
    <w:rsid w:val="00756A0B"/>
    <w:rsid w:val="00766CA0"/>
    <w:rsid w:val="0077412B"/>
    <w:rsid w:val="0077664C"/>
    <w:rsid w:val="00777F51"/>
    <w:rsid w:val="00780586"/>
    <w:rsid w:val="007830E7"/>
    <w:rsid w:val="00783D49"/>
    <w:rsid w:val="00787930"/>
    <w:rsid w:val="00790921"/>
    <w:rsid w:val="00791C94"/>
    <w:rsid w:val="007A3061"/>
    <w:rsid w:val="007A4CFB"/>
    <w:rsid w:val="007A734D"/>
    <w:rsid w:val="007B04F3"/>
    <w:rsid w:val="007B27EB"/>
    <w:rsid w:val="007B45B3"/>
    <w:rsid w:val="007B7BDE"/>
    <w:rsid w:val="007C0DC3"/>
    <w:rsid w:val="007C20D2"/>
    <w:rsid w:val="007C628A"/>
    <w:rsid w:val="007D38CD"/>
    <w:rsid w:val="007D5369"/>
    <w:rsid w:val="007D5493"/>
    <w:rsid w:val="007E0CB1"/>
    <w:rsid w:val="007E196C"/>
    <w:rsid w:val="007E7E4A"/>
    <w:rsid w:val="007F15F0"/>
    <w:rsid w:val="007F41E5"/>
    <w:rsid w:val="00800247"/>
    <w:rsid w:val="0080144F"/>
    <w:rsid w:val="00810923"/>
    <w:rsid w:val="0081789C"/>
    <w:rsid w:val="00822FE7"/>
    <w:rsid w:val="00825B39"/>
    <w:rsid w:val="008300BB"/>
    <w:rsid w:val="00832E9C"/>
    <w:rsid w:val="0083459A"/>
    <w:rsid w:val="008348C0"/>
    <w:rsid w:val="00837EE9"/>
    <w:rsid w:val="008421A5"/>
    <w:rsid w:val="008422D3"/>
    <w:rsid w:val="00845B32"/>
    <w:rsid w:val="00845C01"/>
    <w:rsid w:val="00846264"/>
    <w:rsid w:val="0084746A"/>
    <w:rsid w:val="00847727"/>
    <w:rsid w:val="00847AB0"/>
    <w:rsid w:val="00851A61"/>
    <w:rsid w:val="008543EC"/>
    <w:rsid w:val="008579A8"/>
    <w:rsid w:val="008607B1"/>
    <w:rsid w:val="00861490"/>
    <w:rsid w:val="0086780B"/>
    <w:rsid w:val="008733F7"/>
    <w:rsid w:val="00884040"/>
    <w:rsid w:val="00891A63"/>
    <w:rsid w:val="00896D2A"/>
    <w:rsid w:val="008A05F6"/>
    <w:rsid w:val="008A5A23"/>
    <w:rsid w:val="008D0EC0"/>
    <w:rsid w:val="008D2D1D"/>
    <w:rsid w:val="008D698E"/>
    <w:rsid w:val="008E13B5"/>
    <w:rsid w:val="008E1DBF"/>
    <w:rsid w:val="008E319E"/>
    <w:rsid w:val="008E7BC7"/>
    <w:rsid w:val="008F3193"/>
    <w:rsid w:val="00903260"/>
    <w:rsid w:val="00904719"/>
    <w:rsid w:val="00905742"/>
    <w:rsid w:val="00905A5E"/>
    <w:rsid w:val="009122FE"/>
    <w:rsid w:val="00914B9E"/>
    <w:rsid w:val="00922B16"/>
    <w:rsid w:val="00925FA7"/>
    <w:rsid w:val="00932497"/>
    <w:rsid w:val="0093394B"/>
    <w:rsid w:val="00935DBA"/>
    <w:rsid w:val="00942790"/>
    <w:rsid w:val="009443DE"/>
    <w:rsid w:val="00956891"/>
    <w:rsid w:val="009613CF"/>
    <w:rsid w:val="00962498"/>
    <w:rsid w:val="00963C6B"/>
    <w:rsid w:val="0097431D"/>
    <w:rsid w:val="009743D3"/>
    <w:rsid w:val="0097717E"/>
    <w:rsid w:val="00980ABA"/>
    <w:rsid w:val="00983C63"/>
    <w:rsid w:val="0098401D"/>
    <w:rsid w:val="00986569"/>
    <w:rsid w:val="00995618"/>
    <w:rsid w:val="009957EA"/>
    <w:rsid w:val="009A2596"/>
    <w:rsid w:val="009B7CF0"/>
    <w:rsid w:val="009C2FEC"/>
    <w:rsid w:val="009D057A"/>
    <w:rsid w:val="009D105B"/>
    <w:rsid w:val="009D69A0"/>
    <w:rsid w:val="009E5C85"/>
    <w:rsid w:val="009F02B8"/>
    <w:rsid w:val="009F1755"/>
    <w:rsid w:val="009F1845"/>
    <w:rsid w:val="009F23E6"/>
    <w:rsid w:val="009F45A0"/>
    <w:rsid w:val="009F4CA7"/>
    <w:rsid w:val="009F54C1"/>
    <w:rsid w:val="009F7090"/>
    <w:rsid w:val="009F7416"/>
    <w:rsid w:val="00A0132A"/>
    <w:rsid w:val="00A01413"/>
    <w:rsid w:val="00A01610"/>
    <w:rsid w:val="00A01B89"/>
    <w:rsid w:val="00A02BBC"/>
    <w:rsid w:val="00A064CA"/>
    <w:rsid w:val="00A160EB"/>
    <w:rsid w:val="00A2121D"/>
    <w:rsid w:val="00A21D62"/>
    <w:rsid w:val="00A30A3E"/>
    <w:rsid w:val="00A310BD"/>
    <w:rsid w:val="00A41672"/>
    <w:rsid w:val="00A43094"/>
    <w:rsid w:val="00A46AB5"/>
    <w:rsid w:val="00A5432E"/>
    <w:rsid w:val="00A57BBF"/>
    <w:rsid w:val="00A60A15"/>
    <w:rsid w:val="00A72489"/>
    <w:rsid w:val="00A826B7"/>
    <w:rsid w:val="00A84B73"/>
    <w:rsid w:val="00A85A32"/>
    <w:rsid w:val="00A92236"/>
    <w:rsid w:val="00A92790"/>
    <w:rsid w:val="00A93713"/>
    <w:rsid w:val="00A93E15"/>
    <w:rsid w:val="00A9404B"/>
    <w:rsid w:val="00A973F6"/>
    <w:rsid w:val="00AA3B61"/>
    <w:rsid w:val="00AA50B2"/>
    <w:rsid w:val="00AA5387"/>
    <w:rsid w:val="00AB09FF"/>
    <w:rsid w:val="00AB7BC3"/>
    <w:rsid w:val="00AD0E95"/>
    <w:rsid w:val="00AD4CC4"/>
    <w:rsid w:val="00AD6044"/>
    <w:rsid w:val="00AD6844"/>
    <w:rsid w:val="00AD6869"/>
    <w:rsid w:val="00AD72D2"/>
    <w:rsid w:val="00AD791A"/>
    <w:rsid w:val="00AE175D"/>
    <w:rsid w:val="00AE5D66"/>
    <w:rsid w:val="00AE60C0"/>
    <w:rsid w:val="00AF309F"/>
    <w:rsid w:val="00B0059A"/>
    <w:rsid w:val="00B01D82"/>
    <w:rsid w:val="00B02F83"/>
    <w:rsid w:val="00B041E2"/>
    <w:rsid w:val="00B0506D"/>
    <w:rsid w:val="00B07C16"/>
    <w:rsid w:val="00B11D1C"/>
    <w:rsid w:val="00B15B71"/>
    <w:rsid w:val="00B17F0F"/>
    <w:rsid w:val="00B25776"/>
    <w:rsid w:val="00B26EEA"/>
    <w:rsid w:val="00B311A5"/>
    <w:rsid w:val="00B340F0"/>
    <w:rsid w:val="00B349F3"/>
    <w:rsid w:val="00B36125"/>
    <w:rsid w:val="00B4105F"/>
    <w:rsid w:val="00B43A49"/>
    <w:rsid w:val="00B43C04"/>
    <w:rsid w:val="00B44227"/>
    <w:rsid w:val="00B45208"/>
    <w:rsid w:val="00B46731"/>
    <w:rsid w:val="00B46A0C"/>
    <w:rsid w:val="00B553CB"/>
    <w:rsid w:val="00B565CA"/>
    <w:rsid w:val="00B61592"/>
    <w:rsid w:val="00B63B8C"/>
    <w:rsid w:val="00B678B9"/>
    <w:rsid w:val="00B71992"/>
    <w:rsid w:val="00B721B7"/>
    <w:rsid w:val="00B76105"/>
    <w:rsid w:val="00B770D2"/>
    <w:rsid w:val="00B81829"/>
    <w:rsid w:val="00B83072"/>
    <w:rsid w:val="00B86398"/>
    <w:rsid w:val="00B869F8"/>
    <w:rsid w:val="00B86E9E"/>
    <w:rsid w:val="00B93740"/>
    <w:rsid w:val="00B96692"/>
    <w:rsid w:val="00B97526"/>
    <w:rsid w:val="00BA3CD3"/>
    <w:rsid w:val="00BB088C"/>
    <w:rsid w:val="00BE007A"/>
    <w:rsid w:val="00BE14EE"/>
    <w:rsid w:val="00BE30B9"/>
    <w:rsid w:val="00BF0A72"/>
    <w:rsid w:val="00BF202A"/>
    <w:rsid w:val="00BF2C91"/>
    <w:rsid w:val="00BF4069"/>
    <w:rsid w:val="00BF7981"/>
    <w:rsid w:val="00C01863"/>
    <w:rsid w:val="00C01F40"/>
    <w:rsid w:val="00C07DCC"/>
    <w:rsid w:val="00C104B8"/>
    <w:rsid w:val="00C14D19"/>
    <w:rsid w:val="00C163A8"/>
    <w:rsid w:val="00C236EE"/>
    <w:rsid w:val="00C276C9"/>
    <w:rsid w:val="00C32018"/>
    <w:rsid w:val="00C32B75"/>
    <w:rsid w:val="00C37236"/>
    <w:rsid w:val="00C404BC"/>
    <w:rsid w:val="00C44A23"/>
    <w:rsid w:val="00C45BAE"/>
    <w:rsid w:val="00C47F26"/>
    <w:rsid w:val="00C53386"/>
    <w:rsid w:val="00C71DBD"/>
    <w:rsid w:val="00C737E6"/>
    <w:rsid w:val="00C84113"/>
    <w:rsid w:val="00C85B3D"/>
    <w:rsid w:val="00C87BD7"/>
    <w:rsid w:val="00C916D6"/>
    <w:rsid w:val="00C91F2C"/>
    <w:rsid w:val="00CA0EE2"/>
    <w:rsid w:val="00CB4FE5"/>
    <w:rsid w:val="00CC0B16"/>
    <w:rsid w:val="00CC0F6C"/>
    <w:rsid w:val="00CC1716"/>
    <w:rsid w:val="00CC71F7"/>
    <w:rsid w:val="00CD2287"/>
    <w:rsid w:val="00CD2922"/>
    <w:rsid w:val="00CD4802"/>
    <w:rsid w:val="00CD5245"/>
    <w:rsid w:val="00CE0E88"/>
    <w:rsid w:val="00CE1341"/>
    <w:rsid w:val="00CE1DE3"/>
    <w:rsid w:val="00CF18AB"/>
    <w:rsid w:val="00CF4FBE"/>
    <w:rsid w:val="00CF6C0B"/>
    <w:rsid w:val="00D06C4E"/>
    <w:rsid w:val="00D11614"/>
    <w:rsid w:val="00D231A6"/>
    <w:rsid w:val="00D25675"/>
    <w:rsid w:val="00D26E3E"/>
    <w:rsid w:val="00D46315"/>
    <w:rsid w:val="00D521A8"/>
    <w:rsid w:val="00D53D73"/>
    <w:rsid w:val="00D54897"/>
    <w:rsid w:val="00D5636B"/>
    <w:rsid w:val="00D578B0"/>
    <w:rsid w:val="00D65228"/>
    <w:rsid w:val="00D65F35"/>
    <w:rsid w:val="00D67E6E"/>
    <w:rsid w:val="00D7028E"/>
    <w:rsid w:val="00D73075"/>
    <w:rsid w:val="00D751CA"/>
    <w:rsid w:val="00D76B2D"/>
    <w:rsid w:val="00D7742C"/>
    <w:rsid w:val="00D802EF"/>
    <w:rsid w:val="00D86BCC"/>
    <w:rsid w:val="00D90396"/>
    <w:rsid w:val="00D90D95"/>
    <w:rsid w:val="00D940E7"/>
    <w:rsid w:val="00D94106"/>
    <w:rsid w:val="00D956AA"/>
    <w:rsid w:val="00DA2703"/>
    <w:rsid w:val="00DA5297"/>
    <w:rsid w:val="00DA531B"/>
    <w:rsid w:val="00DA5F69"/>
    <w:rsid w:val="00DB3C95"/>
    <w:rsid w:val="00DC078B"/>
    <w:rsid w:val="00DC1F8A"/>
    <w:rsid w:val="00DC4287"/>
    <w:rsid w:val="00DC7710"/>
    <w:rsid w:val="00DC7AFE"/>
    <w:rsid w:val="00DD1433"/>
    <w:rsid w:val="00DD2A5F"/>
    <w:rsid w:val="00DE0F3A"/>
    <w:rsid w:val="00DE4DF2"/>
    <w:rsid w:val="00DF199A"/>
    <w:rsid w:val="00DF5E53"/>
    <w:rsid w:val="00DF5F4B"/>
    <w:rsid w:val="00E03F9F"/>
    <w:rsid w:val="00E047FA"/>
    <w:rsid w:val="00E0593F"/>
    <w:rsid w:val="00E07B5F"/>
    <w:rsid w:val="00E107F3"/>
    <w:rsid w:val="00E10EA8"/>
    <w:rsid w:val="00E12319"/>
    <w:rsid w:val="00E15CEA"/>
    <w:rsid w:val="00E21D35"/>
    <w:rsid w:val="00E26737"/>
    <w:rsid w:val="00E26CE1"/>
    <w:rsid w:val="00E27A60"/>
    <w:rsid w:val="00E31199"/>
    <w:rsid w:val="00E35465"/>
    <w:rsid w:val="00E358B1"/>
    <w:rsid w:val="00E36402"/>
    <w:rsid w:val="00E40788"/>
    <w:rsid w:val="00E410CB"/>
    <w:rsid w:val="00E42D7E"/>
    <w:rsid w:val="00E435B3"/>
    <w:rsid w:val="00E46FE0"/>
    <w:rsid w:val="00E539CC"/>
    <w:rsid w:val="00E541BC"/>
    <w:rsid w:val="00E57EED"/>
    <w:rsid w:val="00E64F8E"/>
    <w:rsid w:val="00E74176"/>
    <w:rsid w:val="00E847F5"/>
    <w:rsid w:val="00E95945"/>
    <w:rsid w:val="00EA2F40"/>
    <w:rsid w:val="00EA7929"/>
    <w:rsid w:val="00EB0434"/>
    <w:rsid w:val="00EB7113"/>
    <w:rsid w:val="00EC0039"/>
    <w:rsid w:val="00EC2549"/>
    <w:rsid w:val="00EC365A"/>
    <w:rsid w:val="00EC4B31"/>
    <w:rsid w:val="00EC5FDD"/>
    <w:rsid w:val="00ED3CF4"/>
    <w:rsid w:val="00ED5CEB"/>
    <w:rsid w:val="00EE15B7"/>
    <w:rsid w:val="00EE73F8"/>
    <w:rsid w:val="00EF1BB8"/>
    <w:rsid w:val="00EF2470"/>
    <w:rsid w:val="00EF4FFF"/>
    <w:rsid w:val="00EF5CA4"/>
    <w:rsid w:val="00EF6C3C"/>
    <w:rsid w:val="00F016C6"/>
    <w:rsid w:val="00F03DDC"/>
    <w:rsid w:val="00F05307"/>
    <w:rsid w:val="00F10346"/>
    <w:rsid w:val="00F138BF"/>
    <w:rsid w:val="00F2085F"/>
    <w:rsid w:val="00F24F72"/>
    <w:rsid w:val="00F26610"/>
    <w:rsid w:val="00F26C7D"/>
    <w:rsid w:val="00F26EB9"/>
    <w:rsid w:val="00F30E85"/>
    <w:rsid w:val="00F3182C"/>
    <w:rsid w:val="00F3662E"/>
    <w:rsid w:val="00F41D71"/>
    <w:rsid w:val="00F44DE2"/>
    <w:rsid w:val="00F46887"/>
    <w:rsid w:val="00F51484"/>
    <w:rsid w:val="00F60B6C"/>
    <w:rsid w:val="00F63B3E"/>
    <w:rsid w:val="00F64C4B"/>
    <w:rsid w:val="00F65BB3"/>
    <w:rsid w:val="00F67C1A"/>
    <w:rsid w:val="00F729A9"/>
    <w:rsid w:val="00F7501A"/>
    <w:rsid w:val="00F81BA8"/>
    <w:rsid w:val="00F8223B"/>
    <w:rsid w:val="00F87AA6"/>
    <w:rsid w:val="00FA14D3"/>
    <w:rsid w:val="00FA296C"/>
    <w:rsid w:val="00FA66D2"/>
    <w:rsid w:val="00FB3B08"/>
    <w:rsid w:val="00FB663B"/>
    <w:rsid w:val="00FB7E58"/>
    <w:rsid w:val="00FC5371"/>
    <w:rsid w:val="00FC787D"/>
    <w:rsid w:val="00FD5388"/>
    <w:rsid w:val="00FD5416"/>
    <w:rsid w:val="00FD5F36"/>
    <w:rsid w:val="00FE149A"/>
    <w:rsid w:val="00FE3592"/>
    <w:rsid w:val="00FF14A9"/>
    <w:rsid w:val="00FF20E4"/>
    <w:rsid w:val="00FF4C2F"/>
    <w:rsid w:val="00FF62A8"/>
    <w:rsid w:val="00FF6777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369C96"/>
  <w15:chartTrackingRefBased/>
  <w15:docId w15:val="{9C649B29-87C2-4B4A-866E-A166DAF1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53C6"/>
    <w:rPr>
      <w:sz w:val="24"/>
      <w:szCs w:val="24"/>
    </w:rPr>
  </w:style>
  <w:style w:type="character" w:styleId="Hypertextovodkaz">
    <w:name w:val="Hyperlink"/>
    <w:uiPriority w:val="99"/>
    <w:unhideWhenUsed/>
    <w:rsid w:val="00E541BC"/>
    <w:rPr>
      <w:color w:val="0000FF"/>
      <w:u w:val="single"/>
    </w:rPr>
  </w:style>
  <w:style w:type="table" w:styleId="Mkatabulky">
    <w:name w:val="Table Grid"/>
    <w:basedOn w:val="Normlntabulka"/>
    <w:uiPriority w:val="59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CF6C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6C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6C0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6C0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F6C0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6C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6C0B"/>
  </w:style>
  <w:style w:type="character" w:styleId="Znakapoznpodarou">
    <w:name w:val="footnote reference"/>
    <w:uiPriority w:val="99"/>
    <w:semiHidden/>
    <w:unhideWhenUsed/>
    <w:rsid w:val="00CF6C0B"/>
    <w:rPr>
      <w:vertAlign w:val="superscript"/>
    </w:rPr>
  </w:style>
  <w:style w:type="paragraph" w:styleId="Revize">
    <w:name w:val="Revision"/>
    <w:hidden/>
    <w:uiPriority w:val="99"/>
    <w:semiHidden/>
    <w:rsid w:val="00CF6C0B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9613C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AD47A-DE7F-4BE6-9F4C-B0C296CA9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716</Words>
  <Characters>3574</Characters>
  <Application>Microsoft Office Word</Application>
  <DocSecurity>0</DocSecurity>
  <Lines>99</Lines>
  <Paragraphs>50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Baštářová Hajnalka</dc:creator>
  <cp:keywords/>
  <dc:description/>
  <cp:lastModifiedBy>Vácha František prof. RNDr. Ph.D.</cp:lastModifiedBy>
  <cp:revision>17</cp:revision>
  <dcterms:created xsi:type="dcterms:W3CDTF">2025-11-04T07:40:00Z</dcterms:created>
  <dcterms:modified xsi:type="dcterms:W3CDTF">2025-11-04T10:29:00Z</dcterms:modified>
</cp:coreProperties>
</file>