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D9B0" w14:textId="77777777" w:rsidR="00021135" w:rsidRDefault="00021135" w:rsidP="00A43094">
      <w:pPr>
        <w:spacing w:line="276" w:lineRule="auto"/>
        <w:jc w:val="center"/>
        <w:outlineLvl w:val="0"/>
        <w:rPr>
          <w:rFonts w:ascii="Clara Sans" w:hAnsi="Clara Sans" w:cs="Calibri,Bold"/>
          <w:b/>
          <w:bCs/>
          <w:sz w:val="32"/>
          <w:szCs w:val="32"/>
        </w:rPr>
      </w:pPr>
    </w:p>
    <w:p w14:paraId="003229B5" w14:textId="2F5E1D5D" w:rsidR="00A92790" w:rsidRPr="00C23763" w:rsidRDefault="00130805" w:rsidP="00A43094">
      <w:pPr>
        <w:spacing w:line="276" w:lineRule="auto"/>
        <w:jc w:val="center"/>
        <w:outlineLvl w:val="0"/>
        <w:rPr>
          <w:rFonts w:ascii="Clara Sans" w:hAnsi="Clara Sans" w:cs="Calibri,Bold"/>
          <w:b/>
          <w:bCs/>
          <w:sz w:val="32"/>
          <w:szCs w:val="32"/>
        </w:rPr>
      </w:pPr>
      <w:r w:rsidRPr="00C23763">
        <w:rPr>
          <w:rFonts w:ascii="Clara Sans" w:hAnsi="Clara Sans" w:cs="Calibri,Bold"/>
          <w:b/>
          <w:bCs/>
          <w:sz w:val="32"/>
          <w:szCs w:val="32"/>
        </w:rPr>
        <w:t>Metodi</w:t>
      </w:r>
      <w:r w:rsidR="008F1A32">
        <w:rPr>
          <w:rFonts w:ascii="Clara Sans" w:hAnsi="Clara Sans" w:cs="Calibri,Bold"/>
          <w:b/>
          <w:bCs/>
          <w:sz w:val="32"/>
          <w:szCs w:val="32"/>
        </w:rPr>
        <w:t xml:space="preserve">cký pokyn </w:t>
      </w:r>
      <w:r w:rsidRPr="00C23763">
        <w:rPr>
          <w:rFonts w:ascii="Clara Sans" w:hAnsi="Clara Sans" w:cs="Calibri,Bold"/>
          <w:b/>
          <w:bCs/>
          <w:sz w:val="32"/>
          <w:szCs w:val="32"/>
        </w:rPr>
        <w:t>PřF ke mzdovému předpisu JU</w:t>
      </w:r>
      <w:r w:rsidR="00A92790" w:rsidRPr="00C23763">
        <w:rPr>
          <w:rFonts w:ascii="Clara Sans" w:hAnsi="Clara Sans" w:cs="Calibri,Bold"/>
          <w:b/>
          <w:bCs/>
          <w:sz w:val="32"/>
          <w:szCs w:val="32"/>
        </w:rPr>
        <w:t xml:space="preserve"> </w:t>
      </w:r>
      <w:r w:rsidR="00FF20E4" w:rsidRPr="00C23763">
        <w:rPr>
          <w:rFonts w:ascii="Clara Sans" w:hAnsi="Clara Sans" w:cs="Calibri,Bold"/>
          <w:b/>
          <w:bCs/>
          <w:sz w:val="32"/>
          <w:szCs w:val="32"/>
        </w:rPr>
        <w:t xml:space="preserve">stanovující </w:t>
      </w:r>
      <w:r w:rsidR="00A160EB" w:rsidRPr="00C23763">
        <w:rPr>
          <w:rFonts w:ascii="Clara Sans" w:hAnsi="Clara Sans" w:cs="Calibri,Bold"/>
          <w:b/>
          <w:bCs/>
          <w:sz w:val="32"/>
          <w:szCs w:val="32"/>
        </w:rPr>
        <w:t xml:space="preserve">zásady </w:t>
      </w:r>
      <w:r w:rsidR="00FF20E4" w:rsidRPr="00C23763">
        <w:rPr>
          <w:rFonts w:ascii="Clara Sans" w:hAnsi="Clara Sans" w:cs="Calibri,Bold"/>
          <w:b/>
          <w:bCs/>
          <w:sz w:val="32"/>
          <w:szCs w:val="32"/>
        </w:rPr>
        <w:t>sjednávání smluvní mzdy se zaměstnanci úspěšnými</w:t>
      </w:r>
      <w:r w:rsidR="00A92790" w:rsidRPr="00C23763">
        <w:rPr>
          <w:rFonts w:ascii="Clara Sans" w:hAnsi="Clara Sans" w:cs="Calibri,Bold"/>
          <w:b/>
          <w:bCs/>
          <w:sz w:val="32"/>
          <w:szCs w:val="32"/>
        </w:rPr>
        <w:t xml:space="preserve"> ve vysoce kompetitivních grantových soutěžích</w:t>
      </w:r>
    </w:p>
    <w:p w14:paraId="1F76B349" w14:textId="6C3DD80A" w:rsidR="00A43094" w:rsidRPr="00C23763" w:rsidRDefault="00A43094" w:rsidP="00A43094">
      <w:pPr>
        <w:spacing w:line="276" w:lineRule="auto"/>
        <w:jc w:val="center"/>
        <w:outlineLvl w:val="0"/>
        <w:rPr>
          <w:rFonts w:ascii="Clara Sans" w:hAnsi="Clara Sans" w:cs="Calibri,Bold"/>
          <w:b/>
          <w:bCs/>
          <w:sz w:val="32"/>
          <w:szCs w:val="32"/>
        </w:rPr>
      </w:pPr>
      <w:r w:rsidRPr="00C23763">
        <w:rPr>
          <w:rFonts w:ascii="Clara Sans" w:hAnsi="Clara Sans" w:cs="Calibri,Bold"/>
          <w:b/>
          <w:bCs/>
          <w:sz w:val="32"/>
          <w:szCs w:val="32"/>
        </w:rPr>
        <w:t xml:space="preserve"> ve znění ze </w:t>
      </w:r>
      <w:r w:rsidR="003B19FD" w:rsidRPr="00C23763">
        <w:rPr>
          <w:rFonts w:ascii="Clara Sans" w:hAnsi="Clara Sans" w:cs="Calibri,Bold"/>
          <w:b/>
          <w:bCs/>
          <w:sz w:val="32"/>
          <w:szCs w:val="32"/>
        </w:rPr>
        <w:t xml:space="preserve">dne </w:t>
      </w:r>
      <w:r w:rsidR="00D64FF0">
        <w:rPr>
          <w:rFonts w:ascii="Clara Sans" w:hAnsi="Clara Sans" w:cs="Calibri,Bold"/>
          <w:b/>
          <w:bCs/>
          <w:sz w:val="32"/>
          <w:szCs w:val="32"/>
        </w:rPr>
        <w:t>4. listopadu 2025</w:t>
      </w:r>
    </w:p>
    <w:p w14:paraId="27C8C9A5" w14:textId="77777777" w:rsidR="004E699D" w:rsidRPr="00C23763" w:rsidRDefault="004E699D" w:rsidP="004E699D">
      <w:pPr>
        <w:spacing w:line="276" w:lineRule="auto"/>
        <w:ind w:left="709" w:right="-567"/>
        <w:rPr>
          <w:rFonts w:ascii="Clara Sans" w:hAnsi="Clara Sans" w:cs="Calibri"/>
          <w:spacing w:val="10"/>
          <w:kern w:val="20"/>
          <w:sz w:val="20"/>
          <w:szCs w:val="20"/>
        </w:rPr>
      </w:pPr>
    </w:p>
    <w:p w14:paraId="0621DCDD" w14:textId="77777777" w:rsidR="00021135" w:rsidRPr="00C23763" w:rsidRDefault="00021135" w:rsidP="00A43094">
      <w:pPr>
        <w:spacing w:before="120" w:after="240" w:line="276" w:lineRule="auto"/>
        <w:jc w:val="center"/>
        <w:rPr>
          <w:rFonts w:ascii="Clara Sans" w:hAnsi="Clara Sans"/>
        </w:rPr>
      </w:pPr>
    </w:p>
    <w:p w14:paraId="2C0CD288" w14:textId="44654C3B" w:rsidR="00A43094" w:rsidRPr="00C23763" w:rsidRDefault="00A43094" w:rsidP="00A43094">
      <w:pPr>
        <w:spacing w:before="120" w:after="240" w:line="276" w:lineRule="auto"/>
        <w:jc w:val="center"/>
        <w:rPr>
          <w:rFonts w:ascii="Clara Sans" w:hAnsi="Clara Sans"/>
        </w:rPr>
      </w:pPr>
      <w:r w:rsidRPr="00C23763">
        <w:rPr>
          <w:rFonts w:ascii="Clara Sans" w:hAnsi="Clara Sans"/>
        </w:rPr>
        <w:t>Článek I</w:t>
      </w:r>
    </w:p>
    <w:p w14:paraId="02F58241" w14:textId="77777777" w:rsidR="006E134A" w:rsidRPr="00C23763" w:rsidRDefault="006E134A" w:rsidP="006E134A">
      <w:pPr>
        <w:autoSpaceDE w:val="0"/>
        <w:autoSpaceDN w:val="0"/>
        <w:adjustRightInd w:val="0"/>
        <w:spacing w:after="240"/>
        <w:jc w:val="center"/>
        <w:rPr>
          <w:rFonts w:ascii="Clara Sans" w:hAnsi="Clara Sans"/>
        </w:rPr>
      </w:pPr>
      <w:r w:rsidRPr="00C23763">
        <w:rPr>
          <w:rFonts w:ascii="Clara Sans" w:hAnsi="Clara Sans" w:cs="Calibri"/>
          <w:spacing w:val="10"/>
          <w:kern w:val="20"/>
        </w:rPr>
        <w:t>Úvodní ustanovení</w:t>
      </w:r>
    </w:p>
    <w:p w14:paraId="13C13944" w14:textId="37E9A942" w:rsidR="00FF20E4" w:rsidRPr="00C23763" w:rsidRDefault="00FF20E4" w:rsidP="00FF20E4">
      <w:pPr>
        <w:autoSpaceDE w:val="0"/>
        <w:autoSpaceDN w:val="0"/>
        <w:adjustRightInd w:val="0"/>
        <w:spacing w:after="240"/>
        <w:jc w:val="both"/>
        <w:rPr>
          <w:rFonts w:ascii="Clara Sans" w:hAnsi="Clara Sans" w:cs="Calibri"/>
          <w:spacing w:val="10"/>
          <w:kern w:val="20"/>
        </w:rPr>
      </w:pPr>
      <w:r w:rsidRPr="00C23763">
        <w:rPr>
          <w:rFonts w:ascii="Clara Sans" w:hAnsi="Clara Sans" w:cs="Calibri"/>
          <w:spacing w:val="10"/>
          <w:kern w:val="20"/>
        </w:rPr>
        <w:t>U vysoce kompetitivních</w:t>
      </w:r>
      <w:r w:rsidR="00A160EB" w:rsidRPr="00C23763">
        <w:rPr>
          <w:rFonts w:ascii="Clara Sans" w:hAnsi="Clara Sans" w:cs="Calibri"/>
          <w:spacing w:val="10"/>
          <w:kern w:val="20"/>
        </w:rPr>
        <w:t>, prestižních a náročných</w:t>
      </w:r>
      <w:r w:rsidRPr="00C23763">
        <w:rPr>
          <w:rFonts w:ascii="Clara Sans" w:hAnsi="Clara Sans" w:cs="Calibri"/>
          <w:spacing w:val="10"/>
          <w:kern w:val="20"/>
        </w:rPr>
        <w:t xml:space="preserve"> grantových soutěží, jak</w:t>
      </w:r>
      <w:r w:rsidR="00A160EB" w:rsidRPr="00C23763">
        <w:rPr>
          <w:rFonts w:ascii="Clara Sans" w:hAnsi="Clara Sans" w:cs="Calibri"/>
          <w:spacing w:val="10"/>
          <w:kern w:val="20"/>
        </w:rPr>
        <w:t>ými</w:t>
      </w:r>
      <w:r w:rsidRPr="00C23763">
        <w:rPr>
          <w:rFonts w:ascii="Clara Sans" w:hAnsi="Clara Sans" w:cs="Calibri"/>
          <w:spacing w:val="10"/>
          <w:kern w:val="20"/>
        </w:rPr>
        <w:t xml:space="preserve"> jsou např. ERC</w:t>
      </w:r>
      <w:r w:rsidR="00A160EB" w:rsidRPr="00C23763">
        <w:rPr>
          <w:rFonts w:ascii="Clara Sans" w:hAnsi="Clara Sans" w:cs="Calibri"/>
          <w:spacing w:val="10"/>
          <w:kern w:val="20"/>
        </w:rPr>
        <w:t xml:space="preserve">, </w:t>
      </w:r>
      <w:r w:rsidRPr="00C23763">
        <w:rPr>
          <w:rFonts w:ascii="Clara Sans" w:hAnsi="Clara Sans" w:cs="Calibri"/>
          <w:spacing w:val="10"/>
          <w:kern w:val="20"/>
        </w:rPr>
        <w:t xml:space="preserve">GAČR JUNIOR STAR, GAČR EXPRO apod., nelze úspěšné řešitele </w:t>
      </w:r>
      <w:r w:rsidR="00EC4B31" w:rsidRPr="00C23763">
        <w:rPr>
          <w:rFonts w:ascii="Clara Sans" w:hAnsi="Clara Sans" w:cs="Calibri"/>
          <w:spacing w:val="10"/>
          <w:kern w:val="20"/>
        </w:rPr>
        <w:t>(</w:t>
      </w:r>
      <w:r w:rsidR="000A6FCE" w:rsidRPr="00C23763">
        <w:rPr>
          <w:rFonts w:ascii="Clara Sans" w:hAnsi="Clara Sans" w:cs="Calibri"/>
          <w:spacing w:val="10"/>
          <w:kern w:val="20"/>
        </w:rPr>
        <w:t xml:space="preserve">pro účely této směrnice budou </w:t>
      </w:r>
      <w:r w:rsidR="00EC4B31" w:rsidRPr="00C23763">
        <w:rPr>
          <w:rFonts w:ascii="Clara Sans" w:hAnsi="Clara Sans" w:cs="Calibri"/>
          <w:spacing w:val="10"/>
          <w:kern w:val="20"/>
        </w:rPr>
        <w:t xml:space="preserve">dále </w:t>
      </w:r>
      <w:r w:rsidR="000A6FCE" w:rsidRPr="00C23763">
        <w:rPr>
          <w:rFonts w:ascii="Clara Sans" w:hAnsi="Clara Sans" w:cs="Calibri"/>
          <w:spacing w:val="10"/>
          <w:kern w:val="20"/>
        </w:rPr>
        <w:t>označováni</w:t>
      </w:r>
      <w:r w:rsidR="00087F59" w:rsidRPr="00C23763">
        <w:rPr>
          <w:rFonts w:ascii="Clara Sans" w:hAnsi="Clara Sans" w:cs="Calibri"/>
          <w:spacing w:val="10"/>
          <w:kern w:val="20"/>
        </w:rPr>
        <w:t xml:space="preserve"> také</w:t>
      </w:r>
      <w:r w:rsidR="000A6FCE" w:rsidRPr="00C23763">
        <w:rPr>
          <w:rFonts w:ascii="Clara Sans" w:hAnsi="Clara Sans" w:cs="Calibri"/>
          <w:spacing w:val="10"/>
          <w:kern w:val="20"/>
        </w:rPr>
        <w:t xml:space="preserve"> </w:t>
      </w:r>
      <w:r w:rsidR="00EC4B31" w:rsidRPr="00C23763">
        <w:rPr>
          <w:rFonts w:ascii="Clara Sans" w:hAnsi="Clara Sans" w:cs="Calibri"/>
          <w:spacing w:val="10"/>
          <w:kern w:val="20"/>
        </w:rPr>
        <w:t xml:space="preserve">jen </w:t>
      </w:r>
      <w:r w:rsidR="000A6FCE" w:rsidRPr="00C23763">
        <w:rPr>
          <w:rFonts w:ascii="Clara Sans" w:hAnsi="Clara Sans" w:cs="Calibri"/>
          <w:spacing w:val="10"/>
          <w:kern w:val="20"/>
        </w:rPr>
        <w:t xml:space="preserve">jako </w:t>
      </w:r>
      <w:r w:rsidR="00EC4B31" w:rsidRPr="00C23763">
        <w:rPr>
          <w:rFonts w:ascii="Clara Sans" w:hAnsi="Clara Sans" w:cs="Calibri"/>
          <w:spacing w:val="10"/>
          <w:kern w:val="20"/>
        </w:rPr>
        <w:t xml:space="preserve">„zaměstnanci“) </w:t>
      </w:r>
      <w:r w:rsidRPr="00C23763">
        <w:rPr>
          <w:rFonts w:ascii="Clara Sans" w:hAnsi="Clara Sans" w:cs="Calibri"/>
          <w:spacing w:val="10"/>
          <w:kern w:val="20"/>
        </w:rPr>
        <w:t>a jejich mzdy srovnávat pouze v rámci J</w:t>
      </w:r>
      <w:r w:rsidR="00A160EB" w:rsidRPr="00C23763">
        <w:rPr>
          <w:rFonts w:ascii="Clara Sans" w:hAnsi="Clara Sans" w:cs="Calibri"/>
          <w:spacing w:val="10"/>
          <w:kern w:val="20"/>
        </w:rPr>
        <w:t>ihočeské univerzity v Českých Budějovicích (dále jen „J</w:t>
      </w:r>
      <w:r w:rsidRPr="00C23763">
        <w:rPr>
          <w:rFonts w:ascii="Clara Sans" w:hAnsi="Clara Sans" w:cs="Calibri"/>
          <w:spacing w:val="10"/>
          <w:kern w:val="20"/>
        </w:rPr>
        <w:t>U</w:t>
      </w:r>
      <w:r w:rsidR="00A160EB" w:rsidRPr="00C23763">
        <w:rPr>
          <w:rFonts w:ascii="Clara Sans" w:hAnsi="Clara Sans" w:cs="Calibri"/>
          <w:spacing w:val="10"/>
          <w:kern w:val="20"/>
        </w:rPr>
        <w:t>“),</w:t>
      </w:r>
      <w:r w:rsidRPr="00C23763">
        <w:rPr>
          <w:rFonts w:ascii="Clara Sans" w:hAnsi="Clara Sans" w:cs="Calibri"/>
          <w:spacing w:val="10"/>
          <w:kern w:val="20"/>
        </w:rPr>
        <w:t xml:space="preserve"> a</w:t>
      </w:r>
      <w:r w:rsidR="00A160EB" w:rsidRPr="00C23763">
        <w:rPr>
          <w:rFonts w:ascii="Clara Sans" w:hAnsi="Clara Sans" w:cs="Calibri"/>
          <w:spacing w:val="10"/>
          <w:kern w:val="20"/>
        </w:rPr>
        <w:t>le</w:t>
      </w:r>
      <w:r w:rsidRPr="00C23763">
        <w:rPr>
          <w:rFonts w:ascii="Clara Sans" w:hAnsi="Clara Sans" w:cs="Calibri"/>
          <w:spacing w:val="10"/>
          <w:kern w:val="20"/>
        </w:rPr>
        <w:t xml:space="preserve"> je potřebné je srovnávat v rámci </w:t>
      </w:r>
      <w:r w:rsidR="00C33C76" w:rsidRPr="00C23763">
        <w:rPr>
          <w:rFonts w:ascii="Clara Sans" w:hAnsi="Clara Sans" w:cs="Calibri"/>
          <w:spacing w:val="10"/>
          <w:kern w:val="20"/>
        </w:rPr>
        <w:t>výzkumného</w:t>
      </w:r>
      <w:r w:rsidR="003B19FD" w:rsidRPr="00C23763">
        <w:rPr>
          <w:rFonts w:ascii="Clara Sans" w:hAnsi="Clara Sans" w:cs="Calibri"/>
          <w:spacing w:val="10"/>
          <w:kern w:val="20"/>
        </w:rPr>
        <w:t xml:space="preserve"> prostředí a jemu odpovídajícímu pracovnímu trhu celé České republiky a </w:t>
      </w:r>
      <w:r w:rsidR="00C33C76" w:rsidRPr="00C23763">
        <w:rPr>
          <w:rFonts w:ascii="Clara Sans" w:hAnsi="Clara Sans" w:cs="Calibri"/>
          <w:spacing w:val="10"/>
          <w:kern w:val="20"/>
        </w:rPr>
        <w:t>vyspělých</w:t>
      </w:r>
      <w:r w:rsidR="003B19FD" w:rsidRPr="00C23763">
        <w:rPr>
          <w:rFonts w:ascii="Clara Sans" w:hAnsi="Clara Sans" w:cs="Calibri"/>
          <w:spacing w:val="10"/>
          <w:kern w:val="20"/>
        </w:rPr>
        <w:t xml:space="preserve"> zahraničních ekonomik </w:t>
      </w:r>
      <w:r w:rsidRPr="00C23763">
        <w:rPr>
          <w:rFonts w:ascii="Clara Sans" w:hAnsi="Clara Sans" w:cs="Calibri"/>
          <w:spacing w:val="10"/>
          <w:kern w:val="20"/>
        </w:rPr>
        <w:t>a vytvářet jim adekvátní podmínky.</w:t>
      </w:r>
    </w:p>
    <w:p w14:paraId="1F9298BC" w14:textId="4BBDD142" w:rsidR="004136C6" w:rsidRPr="00C23763" w:rsidRDefault="006E134A" w:rsidP="004F016B">
      <w:pPr>
        <w:autoSpaceDE w:val="0"/>
        <w:autoSpaceDN w:val="0"/>
        <w:adjustRightInd w:val="0"/>
        <w:spacing w:after="240"/>
        <w:jc w:val="both"/>
        <w:rPr>
          <w:rFonts w:ascii="Clara Sans" w:hAnsi="Clara Sans" w:cs="Calibri"/>
          <w:spacing w:val="10"/>
          <w:kern w:val="20"/>
        </w:rPr>
      </w:pPr>
      <w:r w:rsidRPr="00C23763">
        <w:rPr>
          <w:rFonts w:ascii="Clara Sans" w:hAnsi="Clara Sans" w:cs="Calibri"/>
          <w:spacing w:val="10"/>
          <w:kern w:val="20"/>
        </w:rPr>
        <w:t>Tato metodika</w:t>
      </w:r>
      <w:r w:rsidR="00385E30" w:rsidRPr="00C23763">
        <w:rPr>
          <w:rFonts w:ascii="Clara Sans" w:hAnsi="Clara Sans" w:cs="Calibri"/>
          <w:spacing w:val="10"/>
          <w:kern w:val="20"/>
        </w:rPr>
        <w:t xml:space="preserve"> je vydávána Přírodovědeckou fakultou JU (dále jen „PřF“) za účelem </w:t>
      </w:r>
      <w:r w:rsidR="00FF20E4" w:rsidRPr="00C23763">
        <w:rPr>
          <w:rFonts w:ascii="Clara Sans" w:hAnsi="Clara Sans" w:cs="Calibri"/>
          <w:spacing w:val="10"/>
          <w:kern w:val="20"/>
        </w:rPr>
        <w:t>stanov</w:t>
      </w:r>
      <w:r w:rsidR="00861490" w:rsidRPr="00C23763">
        <w:rPr>
          <w:rFonts w:ascii="Clara Sans" w:hAnsi="Clara Sans" w:cs="Calibri"/>
          <w:spacing w:val="10"/>
          <w:kern w:val="20"/>
        </w:rPr>
        <w:t>ení</w:t>
      </w:r>
      <w:r w:rsidR="00FF20E4" w:rsidRPr="00C23763">
        <w:rPr>
          <w:rFonts w:ascii="Clara Sans" w:hAnsi="Clara Sans" w:cs="Calibri"/>
          <w:spacing w:val="10"/>
          <w:kern w:val="20"/>
        </w:rPr>
        <w:t xml:space="preserve"> obecn</w:t>
      </w:r>
      <w:r w:rsidR="00861490" w:rsidRPr="00C23763">
        <w:rPr>
          <w:rFonts w:ascii="Clara Sans" w:hAnsi="Clara Sans" w:cs="Calibri"/>
          <w:spacing w:val="10"/>
          <w:kern w:val="20"/>
        </w:rPr>
        <w:t xml:space="preserve">ých </w:t>
      </w:r>
      <w:r w:rsidR="00FF20E4" w:rsidRPr="00C23763">
        <w:rPr>
          <w:rFonts w:ascii="Clara Sans" w:hAnsi="Clara Sans" w:cs="Calibri"/>
          <w:spacing w:val="10"/>
          <w:kern w:val="20"/>
        </w:rPr>
        <w:t>zásad pro sjednávání smluvní mzdy s</w:t>
      </w:r>
      <w:r w:rsidR="000A6FCE" w:rsidRPr="00C23763">
        <w:rPr>
          <w:rFonts w:ascii="Clara Sans" w:hAnsi="Clara Sans" w:cs="Calibri"/>
          <w:spacing w:val="10"/>
          <w:kern w:val="20"/>
        </w:rPr>
        <w:t>e</w:t>
      </w:r>
      <w:r w:rsidR="00FF20E4" w:rsidRPr="00C23763">
        <w:rPr>
          <w:rFonts w:ascii="Clara Sans" w:hAnsi="Clara Sans" w:cs="Calibri"/>
          <w:spacing w:val="10"/>
          <w:kern w:val="20"/>
        </w:rPr>
        <w:t xml:space="preserve"> zaměstnanci. Při zpracování metodiky</w:t>
      </w:r>
      <w:r w:rsidR="00A160EB" w:rsidRPr="00C23763">
        <w:rPr>
          <w:rFonts w:ascii="Clara Sans" w:hAnsi="Clara Sans" w:cs="Calibri"/>
          <w:spacing w:val="10"/>
          <w:kern w:val="20"/>
        </w:rPr>
        <w:t xml:space="preserve"> bylo</w:t>
      </w:r>
      <w:r w:rsidRPr="00C23763">
        <w:rPr>
          <w:rFonts w:ascii="Clara Sans" w:hAnsi="Clara Sans" w:cs="Calibri"/>
          <w:spacing w:val="10"/>
          <w:kern w:val="20"/>
        </w:rPr>
        <w:t xml:space="preserve"> vycház</w:t>
      </w:r>
      <w:r w:rsidR="00A160EB" w:rsidRPr="00C23763">
        <w:rPr>
          <w:rFonts w:ascii="Clara Sans" w:hAnsi="Clara Sans" w:cs="Calibri"/>
          <w:spacing w:val="10"/>
          <w:kern w:val="20"/>
        </w:rPr>
        <w:t>eno</w:t>
      </w:r>
      <w:r w:rsidRPr="00C23763">
        <w:rPr>
          <w:rFonts w:ascii="Clara Sans" w:hAnsi="Clara Sans" w:cs="Calibri"/>
          <w:spacing w:val="10"/>
          <w:kern w:val="20"/>
        </w:rPr>
        <w:t xml:space="preserve"> ze </w:t>
      </w:r>
      <w:r w:rsidR="00A160EB" w:rsidRPr="00C23763">
        <w:rPr>
          <w:rFonts w:ascii="Clara Sans" w:hAnsi="Clara Sans" w:cs="Calibri"/>
          <w:spacing w:val="10"/>
          <w:kern w:val="20"/>
        </w:rPr>
        <w:t>m</w:t>
      </w:r>
      <w:r w:rsidRPr="00C23763">
        <w:rPr>
          <w:rFonts w:ascii="Clara Sans" w:hAnsi="Clara Sans" w:cs="Calibri"/>
          <w:spacing w:val="10"/>
          <w:kern w:val="20"/>
        </w:rPr>
        <w:t xml:space="preserve">zdového předpisu </w:t>
      </w:r>
      <w:r w:rsidR="00A160EB" w:rsidRPr="00C23763">
        <w:rPr>
          <w:rFonts w:ascii="Clara Sans" w:hAnsi="Clara Sans" w:cs="Calibri"/>
          <w:spacing w:val="10"/>
          <w:kern w:val="20"/>
        </w:rPr>
        <w:t>JU</w:t>
      </w:r>
      <w:r w:rsidRPr="00C23763">
        <w:rPr>
          <w:rFonts w:ascii="Clara Sans" w:hAnsi="Clara Sans" w:cs="Calibri"/>
          <w:spacing w:val="10"/>
          <w:kern w:val="20"/>
        </w:rPr>
        <w:t xml:space="preserve"> </w:t>
      </w:r>
      <w:r w:rsidR="00A160EB" w:rsidRPr="00C23763">
        <w:rPr>
          <w:rFonts w:ascii="Clara Sans" w:hAnsi="Clara Sans" w:cs="Calibri"/>
          <w:spacing w:val="10"/>
          <w:kern w:val="20"/>
        </w:rPr>
        <w:t>účinného od 1. 1</w:t>
      </w:r>
      <w:r w:rsidR="00045C42" w:rsidRPr="00C23763">
        <w:rPr>
          <w:rFonts w:ascii="Clara Sans" w:hAnsi="Clara Sans" w:cs="Calibri"/>
          <w:spacing w:val="10"/>
          <w:kern w:val="20"/>
        </w:rPr>
        <w:t>0</w:t>
      </w:r>
      <w:r w:rsidR="00A160EB" w:rsidRPr="00C23763">
        <w:rPr>
          <w:rFonts w:ascii="Clara Sans" w:hAnsi="Clara Sans" w:cs="Calibri"/>
          <w:spacing w:val="10"/>
          <w:kern w:val="20"/>
        </w:rPr>
        <w:t>. 202</w:t>
      </w:r>
      <w:r w:rsidR="00045C42" w:rsidRPr="00C23763">
        <w:rPr>
          <w:rFonts w:ascii="Clara Sans" w:hAnsi="Clara Sans" w:cs="Calibri"/>
          <w:spacing w:val="10"/>
          <w:kern w:val="20"/>
        </w:rPr>
        <w:t>5</w:t>
      </w:r>
      <w:r w:rsidRPr="00C23763">
        <w:rPr>
          <w:rFonts w:ascii="Clara Sans" w:hAnsi="Clara Sans" w:cs="Calibri"/>
          <w:spacing w:val="10"/>
          <w:kern w:val="20"/>
        </w:rPr>
        <w:t>, především</w:t>
      </w:r>
      <w:r w:rsidR="00A160EB" w:rsidRPr="00C23763">
        <w:rPr>
          <w:rFonts w:ascii="Clara Sans" w:hAnsi="Clara Sans" w:cs="Calibri"/>
          <w:spacing w:val="10"/>
          <w:kern w:val="20"/>
        </w:rPr>
        <w:t xml:space="preserve"> jeho</w:t>
      </w:r>
      <w:r w:rsidRPr="00C23763">
        <w:rPr>
          <w:rFonts w:ascii="Clara Sans" w:hAnsi="Clara Sans" w:cs="Calibri"/>
          <w:spacing w:val="10"/>
          <w:kern w:val="20"/>
        </w:rPr>
        <w:t xml:space="preserve"> </w:t>
      </w:r>
      <w:r w:rsidR="00A160EB" w:rsidRPr="00C23763">
        <w:rPr>
          <w:rFonts w:ascii="Clara Sans" w:hAnsi="Clara Sans" w:cs="Calibri"/>
          <w:spacing w:val="10"/>
          <w:kern w:val="20"/>
        </w:rPr>
        <w:t>č</w:t>
      </w:r>
      <w:r w:rsidRPr="00C23763">
        <w:rPr>
          <w:rFonts w:ascii="Clara Sans" w:hAnsi="Clara Sans" w:cs="Calibri"/>
          <w:spacing w:val="10"/>
          <w:kern w:val="20"/>
        </w:rPr>
        <w:t>lánku 2</w:t>
      </w:r>
      <w:r w:rsidR="00A160EB" w:rsidRPr="00C23763">
        <w:rPr>
          <w:rFonts w:ascii="Clara Sans" w:hAnsi="Clara Sans" w:cs="Calibri"/>
          <w:spacing w:val="10"/>
          <w:kern w:val="20"/>
        </w:rPr>
        <w:t xml:space="preserve"> odst.</w:t>
      </w:r>
      <w:r w:rsidRPr="00C23763">
        <w:rPr>
          <w:rFonts w:ascii="Clara Sans" w:hAnsi="Clara Sans" w:cs="Calibri"/>
          <w:spacing w:val="10"/>
          <w:kern w:val="20"/>
        </w:rPr>
        <w:t xml:space="preserve"> 7.</w:t>
      </w:r>
    </w:p>
    <w:p w14:paraId="55FA22B7" w14:textId="77777777" w:rsidR="004136C6" w:rsidRPr="00C23763" w:rsidRDefault="004136C6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</w:rPr>
      </w:pPr>
      <w:r w:rsidRPr="00C23763">
        <w:rPr>
          <w:rFonts w:ascii="Clara Sans" w:hAnsi="Clara Sans"/>
        </w:rPr>
        <w:t>Článek II</w:t>
      </w:r>
    </w:p>
    <w:p w14:paraId="78129CB8" w14:textId="77777777" w:rsidR="004136C6" w:rsidRPr="00C23763" w:rsidRDefault="006E134A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</w:rPr>
      </w:pPr>
      <w:r w:rsidRPr="00C23763">
        <w:rPr>
          <w:rFonts w:ascii="Clara Sans" w:hAnsi="Clara Sans"/>
        </w:rPr>
        <w:t>Stanovení výše mzdy</w:t>
      </w:r>
    </w:p>
    <w:p w14:paraId="7D1341AA" w14:textId="0C813BE2" w:rsidR="004136C6" w:rsidRPr="00C23763" w:rsidRDefault="006E134A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/>
        </w:rPr>
        <w:t xml:space="preserve">Výše </w:t>
      </w:r>
      <w:r w:rsidR="001235FB" w:rsidRPr="00C23763">
        <w:rPr>
          <w:rFonts w:ascii="Clara Sans" w:hAnsi="Clara Sans"/>
        </w:rPr>
        <w:t xml:space="preserve">smluvní </w:t>
      </w:r>
      <w:r w:rsidRPr="00C23763">
        <w:rPr>
          <w:rFonts w:ascii="Clara Sans" w:hAnsi="Clara Sans"/>
        </w:rPr>
        <w:t xml:space="preserve">mzdy u akademických i neakademických </w:t>
      </w:r>
      <w:r w:rsidR="00FB3B08" w:rsidRPr="00C23763">
        <w:rPr>
          <w:rFonts w:ascii="Clara Sans" w:hAnsi="Clara Sans"/>
        </w:rPr>
        <w:t xml:space="preserve">pracovníků </w:t>
      </w:r>
      <w:r w:rsidRPr="00C23763">
        <w:rPr>
          <w:rFonts w:ascii="Clara Sans" w:hAnsi="Clara Sans"/>
        </w:rPr>
        <w:t>PřF JU, podílejících se na řešení projektů, získaných v rámci vysoce kompetitivních</w:t>
      </w:r>
      <w:r w:rsidR="00D54897" w:rsidRPr="00C23763">
        <w:rPr>
          <w:rFonts w:ascii="Clara Sans" w:hAnsi="Clara Sans"/>
        </w:rPr>
        <w:t>, prestižních a náročných</w:t>
      </w:r>
      <w:r w:rsidRPr="00C23763">
        <w:rPr>
          <w:rFonts w:ascii="Clara Sans" w:hAnsi="Clara Sans"/>
        </w:rPr>
        <w:t xml:space="preserve"> grantových soutěží </w:t>
      </w:r>
      <w:r w:rsidR="00F46887" w:rsidRPr="00C23763">
        <w:rPr>
          <w:rFonts w:ascii="Clara Sans" w:hAnsi="Clara Sans"/>
        </w:rPr>
        <w:t>(</w:t>
      </w:r>
      <w:r w:rsidR="00D54897" w:rsidRPr="00C23763">
        <w:rPr>
          <w:rFonts w:ascii="Clara Sans" w:hAnsi="Clara Sans"/>
        </w:rPr>
        <w:t xml:space="preserve">tyto soutěže budou </w:t>
      </w:r>
      <w:r w:rsidR="00F46887" w:rsidRPr="00C23763">
        <w:rPr>
          <w:rFonts w:ascii="Clara Sans" w:hAnsi="Clara Sans"/>
        </w:rPr>
        <w:t xml:space="preserve">dále </w:t>
      </w:r>
      <w:r w:rsidR="003970D4" w:rsidRPr="00C23763">
        <w:rPr>
          <w:rFonts w:ascii="Clara Sans" w:hAnsi="Clara Sans"/>
        </w:rPr>
        <w:t xml:space="preserve">obecně označovány </w:t>
      </w:r>
      <w:r w:rsidR="00F46887" w:rsidRPr="00C23763">
        <w:rPr>
          <w:rFonts w:ascii="Clara Sans" w:hAnsi="Clara Sans"/>
        </w:rPr>
        <w:t xml:space="preserve">jen </w:t>
      </w:r>
      <w:r w:rsidR="003970D4" w:rsidRPr="00C23763">
        <w:rPr>
          <w:rFonts w:ascii="Clara Sans" w:hAnsi="Clara Sans"/>
        </w:rPr>
        <w:t>jako „p</w:t>
      </w:r>
      <w:r w:rsidR="00F46887" w:rsidRPr="00C23763">
        <w:rPr>
          <w:rFonts w:ascii="Clara Sans" w:hAnsi="Clara Sans"/>
        </w:rPr>
        <w:t>rojekt</w:t>
      </w:r>
      <w:r w:rsidR="003970D4" w:rsidRPr="00C23763">
        <w:rPr>
          <w:rFonts w:ascii="Clara Sans" w:hAnsi="Clara Sans"/>
        </w:rPr>
        <w:t>“</w:t>
      </w:r>
      <w:r w:rsidR="00F46887" w:rsidRPr="00C23763">
        <w:rPr>
          <w:rFonts w:ascii="Clara Sans" w:hAnsi="Clara Sans"/>
        </w:rPr>
        <w:t>)</w:t>
      </w:r>
      <w:r w:rsidR="001D5298" w:rsidRPr="00C23763">
        <w:rPr>
          <w:rFonts w:ascii="Clara Sans" w:hAnsi="Clara Sans"/>
        </w:rPr>
        <w:t>,</w:t>
      </w:r>
      <w:r w:rsidR="00F46887" w:rsidRPr="00C23763">
        <w:rPr>
          <w:rFonts w:ascii="Clara Sans" w:hAnsi="Clara Sans"/>
        </w:rPr>
        <w:t xml:space="preserve"> </w:t>
      </w:r>
      <w:r w:rsidR="00B93740" w:rsidRPr="00C23763">
        <w:rPr>
          <w:rFonts w:ascii="Clara Sans" w:hAnsi="Clara Sans"/>
        </w:rPr>
        <w:t>bude sjednávána s přihlédnutím k těmto zásadám</w:t>
      </w:r>
      <w:r w:rsidRPr="00C23763">
        <w:rPr>
          <w:rFonts w:ascii="Clara Sans" w:hAnsi="Clara Sans"/>
        </w:rPr>
        <w:t>:</w:t>
      </w:r>
    </w:p>
    <w:p w14:paraId="66CB1CA7" w14:textId="230EEEFC" w:rsidR="00F46887" w:rsidRPr="00C23763" w:rsidRDefault="001D5298" w:rsidP="00C01F40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/>
        </w:rPr>
        <w:t>Smluvní mzda bude sjednávána pouze pro</w:t>
      </w:r>
      <w:r w:rsidR="00F46887" w:rsidRPr="00C23763">
        <w:rPr>
          <w:rFonts w:ascii="Clara Sans" w:hAnsi="Clara Sans"/>
        </w:rPr>
        <w:t xml:space="preserve"> dobu řešení</w:t>
      </w:r>
      <w:r w:rsidR="00024E56" w:rsidRPr="00C23763">
        <w:rPr>
          <w:rFonts w:ascii="Clara Sans" w:hAnsi="Clara Sans"/>
        </w:rPr>
        <w:t xml:space="preserve"> či trvání</w:t>
      </w:r>
      <w:r w:rsidR="00F46887" w:rsidRPr="00C23763">
        <w:rPr>
          <w:rFonts w:ascii="Clara Sans" w:hAnsi="Clara Sans"/>
        </w:rPr>
        <w:t xml:space="preserve"> příslušného </w:t>
      </w:r>
      <w:r w:rsidRPr="00C23763">
        <w:rPr>
          <w:rFonts w:ascii="Clara Sans" w:hAnsi="Clara Sans"/>
        </w:rPr>
        <w:t>p</w:t>
      </w:r>
      <w:r w:rsidR="00F46887" w:rsidRPr="00C23763">
        <w:rPr>
          <w:rFonts w:ascii="Clara Sans" w:hAnsi="Clara Sans"/>
        </w:rPr>
        <w:t>rojektu</w:t>
      </w:r>
      <w:r w:rsidR="004F016B" w:rsidRPr="00C23763">
        <w:rPr>
          <w:rFonts w:ascii="Clara Sans" w:hAnsi="Clara Sans"/>
        </w:rPr>
        <w:t xml:space="preserve"> a </w:t>
      </w:r>
      <w:r w:rsidR="00F46887" w:rsidRPr="00C23763">
        <w:rPr>
          <w:rFonts w:ascii="Clara Sans" w:hAnsi="Clara Sans"/>
        </w:rPr>
        <w:t>pouze p</w:t>
      </w:r>
      <w:r w:rsidR="00AD72D2" w:rsidRPr="00C23763">
        <w:rPr>
          <w:rFonts w:ascii="Clara Sans" w:hAnsi="Clara Sans"/>
        </w:rPr>
        <w:t>r</w:t>
      </w:r>
      <w:r w:rsidR="00F46887" w:rsidRPr="00C23763">
        <w:rPr>
          <w:rFonts w:ascii="Clara Sans" w:hAnsi="Clara Sans"/>
        </w:rPr>
        <w:t xml:space="preserve">o dobu trvání pracovního úvazku souvisejícího s řešením tohoto </w:t>
      </w:r>
      <w:r w:rsidR="00AD72D2" w:rsidRPr="00C23763">
        <w:rPr>
          <w:rFonts w:ascii="Clara Sans" w:hAnsi="Clara Sans"/>
        </w:rPr>
        <w:t>p</w:t>
      </w:r>
      <w:r w:rsidR="00F46887" w:rsidRPr="00C23763">
        <w:rPr>
          <w:rFonts w:ascii="Clara Sans" w:hAnsi="Clara Sans"/>
        </w:rPr>
        <w:t>rojektu</w:t>
      </w:r>
      <w:r w:rsidR="00B76105" w:rsidRPr="00C23763">
        <w:rPr>
          <w:rFonts w:ascii="Clara Sans" w:hAnsi="Clara Sans"/>
        </w:rPr>
        <w:t>.</w:t>
      </w:r>
    </w:p>
    <w:p w14:paraId="676D46B9" w14:textId="0826698F" w:rsidR="00906BCA" w:rsidRPr="00C23763" w:rsidRDefault="00A02BBC" w:rsidP="004D1ECB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/>
        </w:rPr>
        <w:t>Výše s</w:t>
      </w:r>
      <w:r w:rsidR="00595825" w:rsidRPr="00C23763">
        <w:rPr>
          <w:rFonts w:ascii="Clara Sans" w:hAnsi="Clara Sans"/>
        </w:rPr>
        <w:t>mluvní mzd</w:t>
      </w:r>
      <w:r w:rsidRPr="00C23763">
        <w:rPr>
          <w:rFonts w:ascii="Clara Sans" w:hAnsi="Clara Sans"/>
        </w:rPr>
        <w:t>y</w:t>
      </w:r>
      <w:r w:rsidR="00595825" w:rsidRPr="00C23763">
        <w:rPr>
          <w:rFonts w:ascii="Clara Sans" w:hAnsi="Clara Sans"/>
        </w:rPr>
        <w:t xml:space="preserve"> bude sjednávána</w:t>
      </w:r>
      <w:r w:rsidR="00F46887" w:rsidRPr="00C23763">
        <w:rPr>
          <w:rFonts w:ascii="Clara Sans" w:hAnsi="Clara Sans"/>
        </w:rPr>
        <w:t xml:space="preserve"> pouze </w:t>
      </w:r>
      <w:r w:rsidR="002E65BF" w:rsidRPr="00C23763">
        <w:rPr>
          <w:rFonts w:ascii="Clara Sans" w:hAnsi="Clara Sans"/>
        </w:rPr>
        <w:t xml:space="preserve">ve vztahu k </w:t>
      </w:r>
      <w:r w:rsidR="00F46887" w:rsidRPr="00C23763">
        <w:rPr>
          <w:rFonts w:ascii="Clara Sans" w:hAnsi="Clara Sans"/>
        </w:rPr>
        <w:t>pracovní kapacit</w:t>
      </w:r>
      <w:r w:rsidR="002E65BF" w:rsidRPr="00C23763">
        <w:rPr>
          <w:rFonts w:ascii="Clara Sans" w:hAnsi="Clara Sans"/>
        </w:rPr>
        <w:t>ě</w:t>
      </w:r>
      <w:r w:rsidR="00F46887" w:rsidRPr="00C23763">
        <w:rPr>
          <w:rFonts w:ascii="Clara Sans" w:hAnsi="Clara Sans"/>
        </w:rPr>
        <w:t xml:space="preserve">, kterou se zaměstnanec podílí na řešení </w:t>
      </w:r>
      <w:r w:rsidR="00837EE9" w:rsidRPr="00C23763">
        <w:rPr>
          <w:rFonts w:ascii="Clara Sans" w:hAnsi="Clara Sans"/>
        </w:rPr>
        <w:t>příslušného p</w:t>
      </w:r>
      <w:r w:rsidR="00F46887" w:rsidRPr="00C23763">
        <w:rPr>
          <w:rFonts w:ascii="Clara Sans" w:hAnsi="Clara Sans"/>
        </w:rPr>
        <w:t>rojektu tak, jak je to stanoveno hlavním řešitelem</w:t>
      </w:r>
      <w:r w:rsidRPr="00C23763">
        <w:rPr>
          <w:rFonts w:ascii="Clara Sans" w:hAnsi="Clara Sans"/>
        </w:rPr>
        <w:t xml:space="preserve"> projektu</w:t>
      </w:r>
      <w:r w:rsidR="00F46887" w:rsidRPr="00C23763">
        <w:rPr>
          <w:rFonts w:ascii="Clara Sans" w:hAnsi="Clara Sans"/>
        </w:rPr>
        <w:t>.</w:t>
      </w:r>
      <w:r w:rsidR="003B19FD" w:rsidRPr="00C23763">
        <w:rPr>
          <w:rFonts w:ascii="Clara Sans" w:hAnsi="Clara Sans"/>
        </w:rPr>
        <w:t xml:space="preserve"> </w:t>
      </w:r>
      <w:r w:rsidR="00C33C76" w:rsidRPr="00C23763">
        <w:rPr>
          <w:rFonts w:ascii="Clara Sans" w:hAnsi="Clara Sans"/>
        </w:rPr>
        <w:t>Výše</w:t>
      </w:r>
      <w:r w:rsidR="003B19FD" w:rsidRPr="00C23763">
        <w:rPr>
          <w:rFonts w:ascii="Clara Sans" w:hAnsi="Clara Sans"/>
        </w:rPr>
        <w:t xml:space="preserve"> mzdy vztahující se ke </w:t>
      </w:r>
      <w:r w:rsidR="00C33C76" w:rsidRPr="00C23763">
        <w:rPr>
          <w:rFonts w:ascii="Clara Sans" w:hAnsi="Clara Sans"/>
        </w:rPr>
        <w:t>zbývající</w:t>
      </w:r>
      <w:r w:rsidR="003B19FD" w:rsidRPr="00C23763">
        <w:rPr>
          <w:rFonts w:ascii="Clara Sans" w:hAnsi="Clara Sans"/>
        </w:rPr>
        <w:t xml:space="preserve"> pracovní kapacitě zaměstnance se řídí aktuálně platnou metodikou PřF ke mzdovému předpisu JU</w:t>
      </w:r>
      <w:r w:rsidR="001F1160" w:rsidRPr="00C23763">
        <w:rPr>
          <w:rFonts w:ascii="Clara Sans" w:hAnsi="Clara Sans"/>
        </w:rPr>
        <w:t xml:space="preserve"> (MP JU)</w:t>
      </w:r>
      <w:r w:rsidR="003B19FD" w:rsidRPr="00C23763">
        <w:rPr>
          <w:rFonts w:ascii="Clara Sans" w:hAnsi="Clara Sans"/>
        </w:rPr>
        <w:t>.</w:t>
      </w:r>
    </w:p>
    <w:p w14:paraId="5FC517B4" w14:textId="14D25604" w:rsidR="00CC0F6C" w:rsidRPr="00C23763" w:rsidRDefault="0073311D" w:rsidP="00CD4311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 w:cs="Calibri"/>
          <w:spacing w:val="10"/>
          <w:kern w:val="20"/>
        </w:rPr>
        <w:lastRenderedPageBreak/>
        <w:t>L</w:t>
      </w:r>
      <w:r w:rsidR="0093394B" w:rsidRPr="00C23763">
        <w:rPr>
          <w:rFonts w:ascii="Clara Sans" w:hAnsi="Clara Sans" w:cs="Calibri"/>
          <w:spacing w:val="10"/>
          <w:kern w:val="20"/>
        </w:rPr>
        <w:t>i</w:t>
      </w:r>
      <w:r w:rsidRPr="00C23763">
        <w:rPr>
          <w:rFonts w:ascii="Clara Sans" w:hAnsi="Clara Sans" w:cs="Calibri"/>
          <w:spacing w:val="10"/>
          <w:kern w:val="20"/>
        </w:rPr>
        <w:t>mity</w:t>
      </w:r>
      <w:r w:rsidR="00B0059A" w:rsidRPr="00C23763">
        <w:rPr>
          <w:rFonts w:ascii="Clara Sans" w:hAnsi="Clara Sans" w:cs="Calibri"/>
          <w:spacing w:val="10"/>
          <w:kern w:val="20"/>
        </w:rPr>
        <w:t xml:space="preserve"> maxim</w:t>
      </w:r>
      <w:r w:rsidR="004F016B" w:rsidRPr="00C23763">
        <w:rPr>
          <w:rFonts w:ascii="Clara Sans" w:hAnsi="Clara Sans" w:cs="Calibri"/>
          <w:spacing w:val="10"/>
          <w:kern w:val="20"/>
        </w:rPr>
        <w:t>ální</w:t>
      </w:r>
      <w:r w:rsidR="00B0059A" w:rsidRPr="00C23763">
        <w:rPr>
          <w:rFonts w:ascii="Clara Sans" w:hAnsi="Clara Sans" w:cs="Calibri"/>
          <w:spacing w:val="10"/>
          <w:kern w:val="20"/>
        </w:rPr>
        <w:t xml:space="preserve"> </w:t>
      </w:r>
      <w:r w:rsidR="00A160EB" w:rsidRPr="00C23763">
        <w:rPr>
          <w:rFonts w:ascii="Clara Sans" w:hAnsi="Clara Sans" w:cs="Calibri"/>
          <w:spacing w:val="10"/>
          <w:kern w:val="20"/>
        </w:rPr>
        <w:t xml:space="preserve">sjednávané </w:t>
      </w:r>
      <w:r w:rsidR="00B76105" w:rsidRPr="00C23763">
        <w:rPr>
          <w:rFonts w:ascii="Clara Sans" w:hAnsi="Clara Sans" w:cs="Calibri"/>
          <w:spacing w:val="10"/>
          <w:kern w:val="20"/>
        </w:rPr>
        <w:t xml:space="preserve">smluvní </w:t>
      </w:r>
      <w:r w:rsidR="00B0059A" w:rsidRPr="00C23763">
        <w:rPr>
          <w:rFonts w:ascii="Clara Sans" w:hAnsi="Clara Sans" w:cs="Calibri"/>
          <w:spacing w:val="10"/>
          <w:kern w:val="20"/>
        </w:rPr>
        <w:t>mzdy</w:t>
      </w:r>
      <w:r w:rsidR="003C3BC7" w:rsidRPr="00C23763">
        <w:rPr>
          <w:rFonts w:ascii="Clara Sans" w:hAnsi="Clara Sans" w:cs="Calibri"/>
          <w:spacing w:val="10"/>
          <w:kern w:val="20"/>
        </w:rPr>
        <w:t xml:space="preserve"> pro jednotlivé typy projektů </w:t>
      </w:r>
      <w:r w:rsidR="00AD6044" w:rsidRPr="00C23763">
        <w:rPr>
          <w:rFonts w:ascii="Clara Sans" w:hAnsi="Clara Sans" w:cs="Calibri"/>
          <w:spacing w:val="10"/>
          <w:kern w:val="20"/>
        </w:rPr>
        <w:t xml:space="preserve">a druhy </w:t>
      </w:r>
      <w:r w:rsidR="00EE15B7" w:rsidRPr="00C23763">
        <w:rPr>
          <w:rFonts w:ascii="Clara Sans" w:hAnsi="Clara Sans" w:cs="Calibri"/>
          <w:spacing w:val="10"/>
          <w:kern w:val="20"/>
        </w:rPr>
        <w:t xml:space="preserve">práce </w:t>
      </w:r>
      <w:r w:rsidR="00672A7A" w:rsidRPr="00C23763">
        <w:rPr>
          <w:rFonts w:ascii="Clara Sans" w:hAnsi="Clara Sans" w:cs="Calibri"/>
          <w:spacing w:val="10"/>
          <w:kern w:val="20"/>
        </w:rPr>
        <w:t xml:space="preserve">či agendy </w:t>
      </w:r>
      <w:r w:rsidR="00EE15B7" w:rsidRPr="00C23763">
        <w:rPr>
          <w:rFonts w:ascii="Clara Sans" w:hAnsi="Clara Sans" w:cs="Calibri"/>
          <w:spacing w:val="10"/>
          <w:kern w:val="20"/>
        </w:rPr>
        <w:t xml:space="preserve">vykonávané zaměstnanci </w:t>
      </w:r>
      <w:r w:rsidR="00C01F40" w:rsidRPr="00C23763">
        <w:rPr>
          <w:rFonts w:ascii="Clara Sans" w:hAnsi="Clara Sans" w:cs="Calibri"/>
          <w:spacing w:val="10"/>
          <w:kern w:val="20"/>
        </w:rPr>
        <w:t xml:space="preserve">při FTE 1,0 </w:t>
      </w:r>
      <w:r w:rsidR="00B43A49" w:rsidRPr="00C23763">
        <w:rPr>
          <w:rFonts w:ascii="Clara Sans" w:hAnsi="Clara Sans" w:cs="Calibri"/>
          <w:spacing w:val="10"/>
          <w:kern w:val="20"/>
        </w:rPr>
        <w:t xml:space="preserve">(ekvivalentu plného pracovního úvazku) </w:t>
      </w:r>
      <w:r w:rsidR="004D1ECB" w:rsidRPr="00C23763">
        <w:rPr>
          <w:rFonts w:ascii="Clara Sans" w:hAnsi="Clara Sans" w:cs="Calibri"/>
          <w:spacing w:val="10"/>
          <w:kern w:val="20"/>
        </w:rPr>
        <w:t>se stanovují</w:t>
      </w:r>
      <w:r w:rsidRPr="00C23763">
        <w:rPr>
          <w:rFonts w:ascii="Clara Sans" w:hAnsi="Clara Sans" w:cs="Calibri"/>
          <w:spacing w:val="10"/>
          <w:kern w:val="20"/>
        </w:rPr>
        <w:t xml:space="preserve"> </w:t>
      </w:r>
      <w:r w:rsidR="003C3BC7" w:rsidRPr="00C23763">
        <w:rPr>
          <w:rFonts w:ascii="Clara Sans" w:hAnsi="Clara Sans" w:cs="Calibri"/>
          <w:spacing w:val="10"/>
          <w:kern w:val="20"/>
        </w:rPr>
        <w:t>takto</w:t>
      </w:r>
      <w:r w:rsidR="0093394B" w:rsidRPr="00C23763">
        <w:rPr>
          <w:rFonts w:ascii="Clara Sans" w:hAnsi="Clara Sans" w:cs="Calibri"/>
          <w:spacing w:val="10"/>
          <w:kern w:val="20"/>
        </w:rPr>
        <w:t>:</w:t>
      </w:r>
    </w:p>
    <w:p w14:paraId="272B47C8" w14:textId="19A8F0FC" w:rsidR="004F016B" w:rsidRPr="00C23763" w:rsidRDefault="004F016B" w:rsidP="004F016B">
      <w:pPr>
        <w:autoSpaceDE w:val="0"/>
        <w:autoSpaceDN w:val="0"/>
        <w:adjustRightInd w:val="0"/>
        <w:spacing w:after="240"/>
        <w:ind w:left="360"/>
        <w:jc w:val="both"/>
        <w:rPr>
          <w:rFonts w:ascii="Clara Sans" w:hAnsi="Clara San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206"/>
      </w:tblGrid>
      <w:tr w:rsidR="00CD4311" w:rsidRPr="00C23763" w14:paraId="70FFEB2F" w14:textId="77777777">
        <w:tc>
          <w:tcPr>
            <w:tcW w:w="8460" w:type="dxa"/>
            <w:gridSpan w:val="2"/>
          </w:tcPr>
          <w:p w14:paraId="4F9061AC" w14:textId="0AE04C5A" w:rsidR="00CD4311" w:rsidRPr="00C23763" w:rsidRDefault="003B19FD" w:rsidP="00175BF1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</w:rPr>
            </w:pPr>
            <w:r w:rsidRPr="00C23763">
              <w:rPr>
                <w:rFonts w:ascii="Clara Sans" w:hAnsi="Clara Sans"/>
                <w:b/>
                <w:bCs/>
              </w:rPr>
              <w:t>Hlavní řešitel a spoluřešitel</w:t>
            </w:r>
          </w:p>
        </w:tc>
      </w:tr>
      <w:tr w:rsidR="00EB0434" w:rsidRPr="00C23763" w14:paraId="196B0FE6" w14:textId="77777777">
        <w:tc>
          <w:tcPr>
            <w:tcW w:w="8460" w:type="dxa"/>
            <w:gridSpan w:val="2"/>
          </w:tcPr>
          <w:p w14:paraId="00AD74EB" w14:textId="627D7191" w:rsidR="00175BF1" w:rsidRPr="00C23763" w:rsidRDefault="00EB0434" w:rsidP="00175BF1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</w:rPr>
            </w:pPr>
            <w:r w:rsidRPr="00C23763">
              <w:rPr>
                <w:rFonts w:ascii="Clara Sans" w:hAnsi="Clara Sans"/>
                <w:b/>
                <w:bCs/>
              </w:rPr>
              <w:t xml:space="preserve">ERC </w:t>
            </w:r>
            <w:proofErr w:type="spellStart"/>
            <w:r w:rsidRPr="00C23763">
              <w:rPr>
                <w:rFonts w:ascii="Clara Sans" w:hAnsi="Clara Sans"/>
                <w:b/>
                <w:bCs/>
              </w:rPr>
              <w:t>Starting</w:t>
            </w:r>
            <w:proofErr w:type="spellEnd"/>
            <w:r w:rsidRPr="00C23763">
              <w:rPr>
                <w:rFonts w:ascii="Clara Sans" w:hAnsi="Clara Sans"/>
                <w:b/>
                <w:bCs/>
              </w:rPr>
              <w:t>, GAČR JUNIOR STAR a obdobné projekty</w:t>
            </w:r>
          </w:p>
        </w:tc>
      </w:tr>
      <w:tr w:rsidR="00EB0434" w:rsidRPr="00C23763" w14:paraId="119EACDE" w14:textId="77777777">
        <w:tc>
          <w:tcPr>
            <w:tcW w:w="2142" w:type="dxa"/>
          </w:tcPr>
          <w:p w14:paraId="3B4DAAB2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proofErr w:type="spellStart"/>
            <w:r w:rsidRPr="00C23763">
              <w:rPr>
                <w:rFonts w:ascii="Clara Sans" w:hAnsi="Clara Sans"/>
              </w:rPr>
              <w:t>postdoktorand</w:t>
            </w:r>
            <w:proofErr w:type="spellEnd"/>
          </w:p>
        </w:tc>
        <w:tc>
          <w:tcPr>
            <w:tcW w:w="6318" w:type="dxa"/>
          </w:tcPr>
          <w:p w14:paraId="2D9A403A" w14:textId="4C11C0D8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>mzdového tarifu</w:t>
            </w:r>
            <w:r w:rsidR="009128B0" w:rsidRPr="00C23763">
              <w:rPr>
                <w:rFonts w:ascii="Clara Sans" w:hAnsi="Clara Sans"/>
              </w:rPr>
              <w:t xml:space="preserve"> dle MP JU</w:t>
            </w:r>
            <w:r w:rsidR="001F1160" w:rsidRPr="00C23763">
              <w:rPr>
                <w:rStyle w:val="Znakapoznpodarou"/>
                <w:rFonts w:ascii="Clara Sans" w:hAnsi="Clara Sans"/>
              </w:rPr>
              <w:footnoteReference w:id="1"/>
            </w:r>
            <w:r w:rsidR="009128B0" w:rsidRPr="00C23763">
              <w:rPr>
                <w:rFonts w:ascii="Clara Sans" w:hAnsi="Clara Sans"/>
              </w:rPr>
              <w:t xml:space="preserve"> </w:t>
            </w:r>
            <w:r w:rsidR="00A160EB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0C6620" w:rsidRPr="00C23763">
              <w:rPr>
                <w:rFonts w:ascii="Clara Sans" w:hAnsi="Clara Sans"/>
              </w:rPr>
              <w:t>120</w:t>
            </w:r>
            <w:r w:rsidRPr="00C23763">
              <w:rPr>
                <w:rFonts w:ascii="Clara Sans" w:hAnsi="Clara Sans"/>
              </w:rPr>
              <w:t xml:space="preserve"> %, tj smluvní mzda </w:t>
            </w:r>
            <w:r w:rsidR="00A160EB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ve výši </w:t>
            </w:r>
            <w:r w:rsidR="000C6620" w:rsidRPr="00C23763">
              <w:rPr>
                <w:rFonts w:ascii="Clara Sans" w:hAnsi="Clara Sans"/>
              </w:rPr>
              <w:t>220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  <w:tr w:rsidR="00EB0434" w:rsidRPr="00C23763" w14:paraId="3C4E98D8" w14:textId="77777777">
        <w:tc>
          <w:tcPr>
            <w:tcW w:w="2142" w:type="dxa"/>
          </w:tcPr>
          <w:p w14:paraId="0F5A722E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>docent anebo profesor</w:t>
            </w:r>
          </w:p>
        </w:tc>
        <w:tc>
          <w:tcPr>
            <w:tcW w:w="6318" w:type="dxa"/>
          </w:tcPr>
          <w:p w14:paraId="1BDB04A9" w14:textId="5E107DFE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>mzdového tarifu</w:t>
            </w:r>
            <w:r w:rsidR="00045C42" w:rsidRPr="00C23763">
              <w:rPr>
                <w:rFonts w:ascii="Clara Sans" w:hAnsi="Clara Sans"/>
              </w:rPr>
              <w:t xml:space="preserve"> 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0C6620" w:rsidRPr="00C23763">
              <w:rPr>
                <w:rFonts w:ascii="Clara Sans" w:hAnsi="Clara Sans"/>
              </w:rPr>
              <w:t xml:space="preserve"> </w:t>
            </w:r>
            <w:r w:rsidR="00A160EB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0C6620" w:rsidRPr="00C23763">
              <w:rPr>
                <w:rFonts w:ascii="Clara Sans" w:hAnsi="Clara Sans"/>
              </w:rPr>
              <w:t>150</w:t>
            </w:r>
            <w:r w:rsidRPr="00C23763">
              <w:rPr>
                <w:rFonts w:ascii="Clara Sans" w:hAnsi="Clara Sans"/>
              </w:rPr>
              <w:t xml:space="preserve"> %, tj smluvní mzda </w:t>
            </w:r>
            <w:r w:rsidR="00A160EB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ve výši </w:t>
            </w:r>
            <w:r w:rsidR="000C6620" w:rsidRPr="00C23763">
              <w:rPr>
                <w:rFonts w:ascii="Clara Sans" w:hAnsi="Clara Sans"/>
              </w:rPr>
              <w:t>250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  <w:tr w:rsidR="00EB0434" w:rsidRPr="00C23763" w14:paraId="75901D3A" w14:textId="77777777">
        <w:tc>
          <w:tcPr>
            <w:tcW w:w="8460" w:type="dxa"/>
            <w:gridSpan w:val="2"/>
          </w:tcPr>
          <w:p w14:paraId="2E4A5AF4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</w:rPr>
            </w:pPr>
            <w:r w:rsidRPr="00C23763">
              <w:rPr>
                <w:rFonts w:ascii="Clara Sans" w:hAnsi="Clara Sans"/>
                <w:b/>
                <w:bCs/>
              </w:rPr>
              <w:t xml:space="preserve">ERC </w:t>
            </w:r>
            <w:proofErr w:type="spellStart"/>
            <w:r w:rsidRPr="00C23763">
              <w:rPr>
                <w:rFonts w:ascii="Clara Sans" w:hAnsi="Clara Sans"/>
                <w:b/>
                <w:bCs/>
              </w:rPr>
              <w:t>Consolidator</w:t>
            </w:r>
            <w:proofErr w:type="spellEnd"/>
          </w:p>
        </w:tc>
      </w:tr>
      <w:tr w:rsidR="00EB0434" w:rsidRPr="00C23763" w14:paraId="169A0408" w14:textId="77777777">
        <w:tc>
          <w:tcPr>
            <w:tcW w:w="2142" w:type="dxa"/>
          </w:tcPr>
          <w:p w14:paraId="34BE2B10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</w:p>
        </w:tc>
        <w:tc>
          <w:tcPr>
            <w:tcW w:w="6318" w:type="dxa"/>
          </w:tcPr>
          <w:p w14:paraId="7E86DB5A" w14:textId="754ACA6B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>mzdového tarifu</w:t>
            </w:r>
            <w:r w:rsidR="009128B0" w:rsidRPr="00C23763">
              <w:rPr>
                <w:rFonts w:ascii="Clara Sans" w:hAnsi="Clara Sans"/>
              </w:rPr>
              <w:t xml:space="preserve"> 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0C6620" w:rsidRPr="00C23763">
              <w:rPr>
                <w:rFonts w:ascii="Clara Sans" w:hAnsi="Clara Sans"/>
              </w:rPr>
              <w:t xml:space="preserve"> </w:t>
            </w:r>
            <w:r w:rsidR="00A160EB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0C6620" w:rsidRPr="00C23763">
              <w:rPr>
                <w:rFonts w:ascii="Clara Sans" w:hAnsi="Clara Sans"/>
              </w:rPr>
              <w:t>150</w:t>
            </w:r>
            <w:r w:rsidRPr="00C23763">
              <w:rPr>
                <w:rFonts w:ascii="Clara Sans" w:hAnsi="Clara Sans"/>
              </w:rPr>
              <w:t xml:space="preserve"> %, tj smluvní mzda </w:t>
            </w:r>
            <w:r w:rsidR="00A160EB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ve výši </w:t>
            </w:r>
            <w:r w:rsidR="000C6620" w:rsidRPr="00C23763">
              <w:rPr>
                <w:rFonts w:ascii="Clara Sans" w:hAnsi="Clara Sans"/>
              </w:rPr>
              <w:t>250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  <w:tr w:rsidR="00EB0434" w:rsidRPr="00C23763" w14:paraId="734F03AE" w14:textId="77777777">
        <w:tc>
          <w:tcPr>
            <w:tcW w:w="8460" w:type="dxa"/>
            <w:gridSpan w:val="2"/>
          </w:tcPr>
          <w:p w14:paraId="2D9975F5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</w:rPr>
            </w:pPr>
            <w:r w:rsidRPr="00C23763">
              <w:rPr>
                <w:rFonts w:ascii="Clara Sans" w:hAnsi="Clara Sans"/>
                <w:b/>
                <w:bCs/>
              </w:rPr>
              <w:t xml:space="preserve">ERC </w:t>
            </w:r>
            <w:proofErr w:type="spellStart"/>
            <w:r w:rsidRPr="00C23763">
              <w:rPr>
                <w:rFonts w:ascii="Clara Sans" w:hAnsi="Clara Sans"/>
                <w:b/>
                <w:bCs/>
              </w:rPr>
              <w:t>Advanced</w:t>
            </w:r>
            <w:proofErr w:type="spellEnd"/>
            <w:r w:rsidRPr="00C23763">
              <w:rPr>
                <w:rFonts w:ascii="Clara Sans" w:hAnsi="Clara Sans"/>
                <w:b/>
                <w:bCs/>
              </w:rPr>
              <w:t xml:space="preserve">, </w:t>
            </w:r>
            <w:proofErr w:type="spellStart"/>
            <w:r w:rsidRPr="00C23763">
              <w:rPr>
                <w:rFonts w:ascii="Clara Sans" w:hAnsi="Clara Sans"/>
                <w:b/>
                <w:bCs/>
              </w:rPr>
              <w:t>Synergy</w:t>
            </w:r>
            <w:proofErr w:type="spellEnd"/>
          </w:p>
        </w:tc>
      </w:tr>
      <w:tr w:rsidR="00EB0434" w:rsidRPr="00C23763" w14:paraId="425CFE5E" w14:textId="77777777">
        <w:tc>
          <w:tcPr>
            <w:tcW w:w="2142" w:type="dxa"/>
          </w:tcPr>
          <w:p w14:paraId="394D1595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</w:p>
        </w:tc>
        <w:tc>
          <w:tcPr>
            <w:tcW w:w="6318" w:type="dxa"/>
          </w:tcPr>
          <w:p w14:paraId="5D41DA35" w14:textId="601FFF93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 xml:space="preserve">mzdového tarifu </w:t>
            </w:r>
            <w:r w:rsidR="009128B0" w:rsidRPr="00C23763">
              <w:rPr>
                <w:rFonts w:ascii="Clara Sans" w:hAnsi="Clara Sans"/>
              </w:rPr>
              <w:t>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9128B0" w:rsidRPr="00C23763">
              <w:rPr>
                <w:rFonts w:ascii="Clara Sans" w:hAnsi="Clara Sans"/>
              </w:rPr>
              <w:t xml:space="preserve">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0C6620" w:rsidRPr="00C23763">
              <w:rPr>
                <w:rFonts w:ascii="Clara Sans" w:hAnsi="Clara Sans"/>
              </w:rPr>
              <w:t>180</w:t>
            </w:r>
            <w:r w:rsidRPr="00C23763">
              <w:rPr>
                <w:rFonts w:ascii="Clara Sans" w:hAnsi="Clara Sans"/>
              </w:rPr>
              <w:t xml:space="preserve"> %, tj smluvní mzda ve výši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="000C6620" w:rsidRPr="00C23763">
              <w:rPr>
                <w:rFonts w:ascii="Clara Sans" w:hAnsi="Clara Sans"/>
              </w:rPr>
              <w:t>280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  <w:tr w:rsidR="00EB0434" w:rsidRPr="00C23763" w14:paraId="374704DC" w14:textId="77777777">
        <w:tc>
          <w:tcPr>
            <w:tcW w:w="8460" w:type="dxa"/>
            <w:gridSpan w:val="2"/>
          </w:tcPr>
          <w:p w14:paraId="04973132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</w:p>
        </w:tc>
      </w:tr>
      <w:tr w:rsidR="00EB0434" w:rsidRPr="00C23763" w14:paraId="17C1E491" w14:textId="77777777">
        <w:tc>
          <w:tcPr>
            <w:tcW w:w="8460" w:type="dxa"/>
            <w:gridSpan w:val="2"/>
          </w:tcPr>
          <w:p w14:paraId="3A924084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</w:rPr>
            </w:pPr>
            <w:r w:rsidRPr="00C23763">
              <w:rPr>
                <w:rFonts w:ascii="Clara Sans" w:hAnsi="Clara Sans"/>
                <w:b/>
                <w:bCs/>
              </w:rPr>
              <w:t>Všechny typy projektů – členové výzkumného týmu</w:t>
            </w:r>
          </w:p>
        </w:tc>
      </w:tr>
      <w:tr w:rsidR="00EB0434" w:rsidRPr="00C23763" w14:paraId="5DB5D411" w14:textId="77777777">
        <w:tc>
          <w:tcPr>
            <w:tcW w:w="2142" w:type="dxa"/>
          </w:tcPr>
          <w:p w14:paraId="046A55A3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>senior</w:t>
            </w:r>
          </w:p>
        </w:tc>
        <w:tc>
          <w:tcPr>
            <w:tcW w:w="6318" w:type="dxa"/>
          </w:tcPr>
          <w:p w14:paraId="7E640236" w14:textId="0B3C4914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 xml:space="preserve">mzdového tarifu </w:t>
            </w:r>
            <w:r w:rsidR="009128B0" w:rsidRPr="00C23763">
              <w:rPr>
                <w:rFonts w:ascii="Clara Sans" w:hAnsi="Clara Sans"/>
              </w:rPr>
              <w:t>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9128B0" w:rsidRPr="00C23763">
              <w:rPr>
                <w:rFonts w:ascii="Clara Sans" w:hAnsi="Clara Sans"/>
              </w:rPr>
              <w:t xml:space="preserve">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EC6B41" w:rsidRPr="00C23763">
              <w:rPr>
                <w:rFonts w:ascii="Clara Sans" w:hAnsi="Clara Sans"/>
              </w:rPr>
              <w:t xml:space="preserve">120 </w:t>
            </w:r>
            <w:r w:rsidRPr="00C23763">
              <w:rPr>
                <w:rFonts w:ascii="Clara Sans" w:hAnsi="Clara Sans"/>
              </w:rPr>
              <w:t xml:space="preserve">%, tj smluvní mzda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ve výši </w:t>
            </w:r>
            <w:r w:rsidR="00EC6B41" w:rsidRPr="00C23763">
              <w:rPr>
                <w:rFonts w:ascii="Clara Sans" w:hAnsi="Clara Sans"/>
              </w:rPr>
              <w:t xml:space="preserve">220 </w:t>
            </w:r>
            <w:r w:rsidRPr="00C23763">
              <w:rPr>
                <w:rFonts w:ascii="Clara Sans" w:hAnsi="Clara Sans"/>
              </w:rPr>
              <w:t xml:space="preserve">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  <w:tr w:rsidR="00EB0434" w:rsidRPr="00C23763" w14:paraId="4FF434AD" w14:textId="77777777">
        <w:tc>
          <w:tcPr>
            <w:tcW w:w="2142" w:type="dxa"/>
          </w:tcPr>
          <w:p w14:paraId="23957328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proofErr w:type="spellStart"/>
            <w:r w:rsidRPr="00C23763">
              <w:rPr>
                <w:rFonts w:ascii="Clara Sans" w:hAnsi="Clara Sans"/>
              </w:rPr>
              <w:t>postdoc</w:t>
            </w:r>
            <w:proofErr w:type="spellEnd"/>
          </w:p>
        </w:tc>
        <w:tc>
          <w:tcPr>
            <w:tcW w:w="6318" w:type="dxa"/>
          </w:tcPr>
          <w:p w14:paraId="376F9D59" w14:textId="09975F5A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 xml:space="preserve">mzdového tarifu </w:t>
            </w:r>
            <w:r w:rsidR="00045C42" w:rsidRPr="00C23763">
              <w:rPr>
                <w:rFonts w:ascii="Clara Sans" w:hAnsi="Clara Sans"/>
              </w:rPr>
              <w:t>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045C42" w:rsidRPr="00C23763">
              <w:rPr>
                <w:rFonts w:ascii="Clara Sans" w:hAnsi="Clara Sans"/>
              </w:rPr>
              <w:t xml:space="preserve">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EC6B41" w:rsidRPr="00C23763">
              <w:rPr>
                <w:rFonts w:ascii="Clara Sans" w:hAnsi="Clara Sans"/>
              </w:rPr>
              <w:t>100</w:t>
            </w:r>
            <w:r w:rsidRPr="00C23763">
              <w:rPr>
                <w:rFonts w:ascii="Clara Sans" w:hAnsi="Clara Sans"/>
              </w:rPr>
              <w:t xml:space="preserve"> %, tj smluvní mzda ve výši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="00EC6B41" w:rsidRPr="00C23763">
              <w:rPr>
                <w:rFonts w:ascii="Clara Sans" w:hAnsi="Clara Sans"/>
              </w:rPr>
              <w:t>200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  <w:tr w:rsidR="00EB0434" w:rsidRPr="00C23763" w14:paraId="1BFDED4C" w14:textId="77777777">
        <w:tc>
          <w:tcPr>
            <w:tcW w:w="2142" w:type="dxa"/>
          </w:tcPr>
          <w:p w14:paraId="6695A66A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>doktorand</w:t>
            </w:r>
          </w:p>
        </w:tc>
        <w:tc>
          <w:tcPr>
            <w:tcW w:w="6318" w:type="dxa"/>
          </w:tcPr>
          <w:p w14:paraId="161E1AFC" w14:textId="30504501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 xml:space="preserve">mzdového tarifu </w:t>
            </w:r>
            <w:r w:rsidR="00045C42" w:rsidRPr="00C23763">
              <w:rPr>
                <w:rFonts w:ascii="Clara Sans" w:hAnsi="Clara Sans"/>
              </w:rPr>
              <w:t>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045C42" w:rsidRPr="00C23763">
              <w:rPr>
                <w:rFonts w:ascii="Clara Sans" w:hAnsi="Clara Sans"/>
              </w:rPr>
              <w:t xml:space="preserve">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3D5742" w:rsidRPr="00C23763">
              <w:rPr>
                <w:rFonts w:ascii="Clara Sans" w:hAnsi="Clara Sans"/>
              </w:rPr>
              <w:t>80</w:t>
            </w:r>
            <w:r w:rsidRPr="00C23763">
              <w:rPr>
                <w:rFonts w:ascii="Clara Sans" w:hAnsi="Clara Sans"/>
              </w:rPr>
              <w:t xml:space="preserve"> %, tj smluvní mzda ve výši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="003D5742" w:rsidRPr="00C23763">
              <w:rPr>
                <w:rFonts w:ascii="Clara Sans" w:hAnsi="Clara Sans"/>
              </w:rPr>
              <w:t>180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  <w:tr w:rsidR="00EB0434" w:rsidRPr="00C23763" w14:paraId="541F546D" w14:textId="77777777">
        <w:tc>
          <w:tcPr>
            <w:tcW w:w="2142" w:type="dxa"/>
          </w:tcPr>
          <w:p w14:paraId="7785357A" w14:textId="77777777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>laborant</w:t>
            </w:r>
          </w:p>
        </w:tc>
        <w:tc>
          <w:tcPr>
            <w:tcW w:w="6318" w:type="dxa"/>
          </w:tcPr>
          <w:p w14:paraId="4C61845A" w14:textId="469C93D4" w:rsidR="00EB0434" w:rsidRPr="00C23763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bookmarkStart w:id="0" w:name="_Hlk191660836"/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>mzdového tarifu</w:t>
            </w:r>
            <w:r w:rsidR="00045C42" w:rsidRPr="00C23763">
              <w:rPr>
                <w:rFonts w:ascii="Clara Sans" w:hAnsi="Clara Sans"/>
              </w:rPr>
              <w:t xml:space="preserve"> 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045C42" w:rsidRPr="00C23763">
              <w:rPr>
                <w:rFonts w:ascii="Clara Sans" w:hAnsi="Clara Sans"/>
              </w:rPr>
              <w:t xml:space="preserve">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Pr="00C23763">
              <w:rPr>
                <w:rFonts w:ascii="Clara Sans" w:hAnsi="Clara Sans"/>
              </w:rPr>
              <w:t xml:space="preserve">o </w:t>
            </w:r>
            <w:r w:rsidR="003D5742" w:rsidRPr="00C23763">
              <w:rPr>
                <w:rFonts w:ascii="Clara Sans" w:hAnsi="Clara Sans"/>
              </w:rPr>
              <w:t>50</w:t>
            </w:r>
            <w:r w:rsidRPr="00C23763">
              <w:rPr>
                <w:rFonts w:ascii="Clara Sans" w:hAnsi="Clara Sans"/>
              </w:rPr>
              <w:t xml:space="preserve"> %, tj smluvní mzda ve výši </w:t>
            </w:r>
            <w:r w:rsidR="00AD6044" w:rsidRPr="00C23763">
              <w:rPr>
                <w:rFonts w:ascii="Clara Sans" w:hAnsi="Clara Sans"/>
              </w:rPr>
              <w:t xml:space="preserve">až </w:t>
            </w:r>
            <w:r w:rsidR="003D5742" w:rsidRPr="00C23763">
              <w:rPr>
                <w:rFonts w:ascii="Clara Sans" w:hAnsi="Clara Sans"/>
              </w:rPr>
              <w:t>150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  <w:bookmarkEnd w:id="0"/>
          </w:p>
        </w:tc>
      </w:tr>
      <w:tr w:rsidR="00175BF1" w:rsidRPr="00C23763" w14:paraId="3CF91D40" w14:textId="77777777">
        <w:tc>
          <w:tcPr>
            <w:tcW w:w="2142" w:type="dxa"/>
          </w:tcPr>
          <w:p w14:paraId="074BC592" w14:textId="708DEB94" w:rsidR="00175BF1" w:rsidRPr="00C23763" w:rsidRDefault="00B7215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>p</w:t>
            </w:r>
            <w:r w:rsidR="00175BF1" w:rsidRPr="00C23763">
              <w:rPr>
                <w:rFonts w:ascii="Clara Sans" w:hAnsi="Clara Sans"/>
              </w:rPr>
              <w:t>rojektový manažer</w:t>
            </w:r>
          </w:p>
        </w:tc>
        <w:tc>
          <w:tcPr>
            <w:tcW w:w="6318" w:type="dxa"/>
          </w:tcPr>
          <w:p w14:paraId="00E71ABB" w14:textId="54D6F430" w:rsidR="00175BF1" w:rsidRPr="00C23763" w:rsidRDefault="00175BF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</w:rPr>
            </w:pPr>
            <w:r w:rsidRPr="00C23763">
              <w:rPr>
                <w:rFonts w:ascii="Clara Sans" w:hAnsi="Clara Sans"/>
              </w:rPr>
              <w:t xml:space="preserve">navýšení </w:t>
            </w:r>
            <w:r w:rsidR="000C6620" w:rsidRPr="00C23763">
              <w:rPr>
                <w:rFonts w:ascii="Clara Sans" w:hAnsi="Clara Sans"/>
              </w:rPr>
              <w:t>mzdového tarifu</w:t>
            </w:r>
            <w:r w:rsidR="001F1160" w:rsidRPr="00C23763">
              <w:rPr>
                <w:rFonts w:ascii="Clara Sans" w:hAnsi="Clara Sans"/>
              </w:rPr>
              <w:t xml:space="preserve"> </w:t>
            </w:r>
            <w:r w:rsidR="009128B0" w:rsidRPr="00C23763">
              <w:rPr>
                <w:rFonts w:ascii="Clara Sans" w:hAnsi="Clara Sans"/>
              </w:rPr>
              <w:t>dle MP JU</w:t>
            </w:r>
            <w:r w:rsidR="001F1160" w:rsidRPr="00C23763">
              <w:rPr>
                <w:rFonts w:ascii="Clara Sans" w:hAnsi="Clara Sans"/>
                <w:vertAlign w:val="superscript"/>
              </w:rPr>
              <w:t>*</w:t>
            </w:r>
            <w:r w:rsidR="009128B0" w:rsidRPr="00C23763">
              <w:rPr>
                <w:rFonts w:ascii="Clara Sans" w:hAnsi="Clara Sans"/>
              </w:rPr>
              <w:t xml:space="preserve"> </w:t>
            </w:r>
            <w:r w:rsidRPr="00C23763">
              <w:rPr>
                <w:rFonts w:ascii="Clara Sans" w:hAnsi="Clara Sans"/>
              </w:rPr>
              <w:t xml:space="preserve">až o </w:t>
            </w:r>
            <w:r w:rsidR="003D5742" w:rsidRPr="00C23763">
              <w:rPr>
                <w:rFonts w:ascii="Clara Sans" w:hAnsi="Clara Sans"/>
              </w:rPr>
              <w:t>80</w:t>
            </w:r>
            <w:r w:rsidRPr="00C23763">
              <w:rPr>
                <w:rFonts w:ascii="Clara Sans" w:hAnsi="Clara Sans"/>
              </w:rPr>
              <w:t xml:space="preserve"> %, tj smluvní mzda ve výši až </w:t>
            </w:r>
            <w:r w:rsidR="003D5742" w:rsidRPr="00C23763">
              <w:rPr>
                <w:rFonts w:ascii="Clara Sans" w:hAnsi="Clara Sans"/>
              </w:rPr>
              <w:t>180</w:t>
            </w:r>
            <w:r w:rsidRPr="00C23763">
              <w:rPr>
                <w:rFonts w:ascii="Clara Sans" w:hAnsi="Clara Sans"/>
              </w:rPr>
              <w:t xml:space="preserve"> % </w:t>
            </w:r>
            <w:r w:rsidR="000C6620" w:rsidRPr="00C23763">
              <w:rPr>
                <w:rFonts w:ascii="Clara Sans" w:hAnsi="Clara Sans"/>
              </w:rPr>
              <w:t>tarifní mzdy</w:t>
            </w:r>
          </w:p>
        </w:tc>
      </w:tr>
    </w:tbl>
    <w:p w14:paraId="50F6AA5F" w14:textId="77777777" w:rsidR="00CC0F6C" w:rsidRPr="00C23763" w:rsidRDefault="00CC0F6C" w:rsidP="004F016B">
      <w:pPr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</w:p>
    <w:p w14:paraId="50733FAC" w14:textId="4086B479" w:rsidR="00A826B7" w:rsidRPr="00C23763" w:rsidRDefault="00A826B7" w:rsidP="004136C6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/>
        </w:rPr>
        <w:lastRenderedPageBreak/>
        <w:t>Ve výjimeč</w:t>
      </w:r>
      <w:r w:rsidR="00A01B89" w:rsidRPr="00C23763">
        <w:rPr>
          <w:rFonts w:ascii="Clara Sans" w:hAnsi="Clara Sans"/>
        </w:rPr>
        <w:t>ném</w:t>
      </w:r>
      <w:r w:rsidRPr="00C23763">
        <w:rPr>
          <w:rFonts w:ascii="Clara Sans" w:hAnsi="Clara Sans"/>
        </w:rPr>
        <w:t> případ</w:t>
      </w:r>
      <w:r w:rsidR="00A01B89" w:rsidRPr="00C23763">
        <w:rPr>
          <w:rFonts w:ascii="Clara Sans" w:hAnsi="Clara Sans"/>
        </w:rPr>
        <w:t>ě</w:t>
      </w:r>
      <w:r w:rsidRPr="00C23763">
        <w:rPr>
          <w:rFonts w:ascii="Clara Sans" w:hAnsi="Clara Sans"/>
        </w:rPr>
        <w:t xml:space="preserve"> hodn</w:t>
      </w:r>
      <w:r w:rsidR="00A01B89" w:rsidRPr="00C23763">
        <w:rPr>
          <w:rFonts w:ascii="Clara Sans" w:hAnsi="Clara Sans"/>
        </w:rPr>
        <w:t xml:space="preserve">ém </w:t>
      </w:r>
      <w:r w:rsidRPr="00C23763">
        <w:rPr>
          <w:rFonts w:ascii="Clara Sans" w:hAnsi="Clara Sans"/>
        </w:rPr>
        <w:t xml:space="preserve">zvláštního zřetele je </w:t>
      </w:r>
      <w:r w:rsidR="00A01B89" w:rsidRPr="00C23763">
        <w:rPr>
          <w:rFonts w:ascii="Clara Sans" w:hAnsi="Clara Sans"/>
        </w:rPr>
        <w:t>možné překročit limit stanovený v předchozím odstavci.</w:t>
      </w:r>
    </w:p>
    <w:p w14:paraId="21F2D103" w14:textId="746CA215" w:rsidR="004136C6" w:rsidRPr="00C23763" w:rsidRDefault="00231098" w:rsidP="004136C6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 w:cs="Calibri"/>
          <w:spacing w:val="10"/>
          <w:kern w:val="20"/>
        </w:rPr>
        <w:t>Nad rámec smluvní mzdy</w:t>
      </w:r>
      <w:r w:rsidR="0093394B" w:rsidRPr="00C23763">
        <w:rPr>
          <w:rFonts w:ascii="Clara Sans" w:hAnsi="Clara Sans" w:cs="Calibri"/>
          <w:spacing w:val="10"/>
          <w:kern w:val="20"/>
        </w:rPr>
        <w:t xml:space="preserve"> je možné zaměstnanci přiznat další prémie, příplatky a odměny</w:t>
      </w:r>
      <w:r w:rsidR="001E733E" w:rsidRPr="00C23763">
        <w:rPr>
          <w:rFonts w:ascii="Clara Sans" w:hAnsi="Clara Sans" w:cs="Calibri"/>
          <w:spacing w:val="10"/>
          <w:kern w:val="20"/>
        </w:rPr>
        <w:t xml:space="preserve">, a to </w:t>
      </w:r>
      <w:r w:rsidR="007548DA" w:rsidRPr="00C23763">
        <w:rPr>
          <w:rFonts w:ascii="Clara Sans" w:hAnsi="Clara Sans" w:cs="Calibri"/>
          <w:spacing w:val="10"/>
          <w:kern w:val="20"/>
        </w:rPr>
        <w:t>za podmínek stanovených ve mzdové</w:t>
      </w:r>
      <w:r w:rsidR="004B4A5D" w:rsidRPr="00C23763">
        <w:rPr>
          <w:rFonts w:ascii="Clara Sans" w:hAnsi="Clara Sans" w:cs="Calibri"/>
          <w:spacing w:val="10"/>
          <w:kern w:val="20"/>
        </w:rPr>
        <w:t>m</w:t>
      </w:r>
      <w:r w:rsidR="007548DA" w:rsidRPr="00C23763">
        <w:rPr>
          <w:rFonts w:ascii="Clara Sans" w:hAnsi="Clara Sans" w:cs="Calibri"/>
          <w:spacing w:val="10"/>
          <w:kern w:val="20"/>
        </w:rPr>
        <w:t xml:space="preserve"> předpisu JU</w:t>
      </w:r>
      <w:r w:rsidR="004B4A5D" w:rsidRPr="00C23763">
        <w:rPr>
          <w:rFonts w:ascii="Clara Sans" w:hAnsi="Clara Sans" w:cs="Calibri"/>
          <w:spacing w:val="10"/>
          <w:kern w:val="20"/>
        </w:rPr>
        <w:t xml:space="preserve">, případně </w:t>
      </w:r>
      <w:r w:rsidR="007548DA" w:rsidRPr="00C23763">
        <w:rPr>
          <w:rFonts w:ascii="Clara Sans" w:hAnsi="Clara Sans" w:cs="Calibri"/>
          <w:spacing w:val="10"/>
          <w:kern w:val="20"/>
        </w:rPr>
        <w:t>jiném vnitřním předpisu JU nebo PřF</w:t>
      </w:r>
      <w:r w:rsidR="0093394B" w:rsidRPr="00C23763">
        <w:rPr>
          <w:rFonts w:ascii="Clara Sans" w:hAnsi="Clara Sans" w:cs="Calibri"/>
          <w:spacing w:val="10"/>
          <w:kern w:val="20"/>
        </w:rPr>
        <w:t>.</w:t>
      </w:r>
    </w:p>
    <w:p w14:paraId="18FB1C50" w14:textId="77777777" w:rsidR="00021135" w:rsidRPr="00C23763" w:rsidRDefault="00021135" w:rsidP="00021135">
      <w:pPr>
        <w:autoSpaceDE w:val="0"/>
        <w:autoSpaceDN w:val="0"/>
        <w:adjustRightInd w:val="0"/>
        <w:spacing w:after="240"/>
        <w:ind w:left="720"/>
        <w:jc w:val="both"/>
        <w:rPr>
          <w:rFonts w:ascii="Clara Sans" w:hAnsi="Clara Sans"/>
        </w:rPr>
      </w:pPr>
    </w:p>
    <w:p w14:paraId="7B49130A" w14:textId="77777777" w:rsidR="004136C6" w:rsidRPr="00C23763" w:rsidRDefault="004136C6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</w:rPr>
      </w:pPr>
      <w:r w:rsidRPr="00C23763">
        <w:rPr>
          <w:rFonts w:ascii="Clara Sans" w:hAnsi="Clara Sans"/>
        </w:rPr>
        <w:t>Článek III</w:t>
      </w:r>
    </w:p>
    <w:p w14:paraId="3D6C5441" w14:textId="77777777" w:rsidR="004136C6" w:rsidRPr="00C23763" w:rsidRDefault="004136C6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</w:rPr>
      </w:pPr>
      <w:r w:rsidRPr="00C23763">
        <w:rPr>
          <w:rFonts w:ascii="Clara Sans" w:hAnsi="Clara Sans"/>
        </w:rPr>
        <w:t>Ostatní ustanovení</w:t>
      </w:r>
    </w:p>
    <w:p w14:paraId="17C33909" w14:textId="0EB736B7" w:rsidR="00AC05A0" w:rsidRDefault="00AC05A0" w:rsidP="00F46C48">
      <w:pPr>
        <w:tabs>
          <w:tab w:val="left" w:pos="7665"/>
        </w:tabs>
        <w:autoSpaceDE w:val="0"/>
        <w:autoSpaceDN w:val="0"/>
        <w:adjustRightInd w:val="0"/>
        <w:jc w:val="both"/>
        <w:rPr>
          <w:rFonts w:ascii="Clara Sans" w:hAnsi="Clara Sans"/>
        </w:rPr>
      </w:pPr>
      <w:r w:rsidRPr="00C23763">
        <w:rPr>
          <w:rFonts w:ascii="Clara Sans" w:hAnsi="Clara Sans"/>
        </w:rPr>
        <w:t>Tato metodika</w:t>
      </w:r>
      <w:r>
        <w:rPr>
          <w:rFonts w:ascii="Clara Sans" w:hAnsi="Clara Sans"/>
        </w:rPr>
        <w:t xml:space="preserve"> nahrazuje verzi ze dne </w:t>
      </w:r>
      <w:r w:rsidR="00F46C48">
        <w:rPr>
          <w:rFonts w:ascii="Clara Sans" w:hAnsi="Clara Sans"/>
        </w:rPr>
        <w:t>11. března 2025</w:t>
      </w:r>
    </w:p>
    <w:p w14:paraId="7FE9118F" w14:textId="09F1AE95" w:rsidR="004136C6" w:rsidRPr="00C23763" w:rsidRDefault="00845B32" w:rsidP="004F016B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/>
        </w:rPr>
        <w:t>Tato metodika</w:t>
      </w:r>
      <w:r w:rsidR="004136C6" w:rsidRPr="00C23763">
        <w:rPr>
          <w:rFonts w:ascii="Clara Sans" w:hAnsi="Clara Sans"/>
        </w:rPr>
        <w:t xml:space="preserve"> nabývá účinnosti od </w:t>
      </w:r>
      <w:r w:rsidR="00D64FF0">
        <w:rPr>
          <w:rFonts w:ascii="Clara Sans" w:hAnsi="Clara Sans"/>
        </w:rPr>
        <w:t>4. listopadu 2025</w:t>
      </w:r>
    </w:p>
    <w:p w14:paraId="0B8E69B8" w14:textId="77777777" w:rsidR="00F46C48" w:rsidRDefault="00F46C48" w:rsidP="004F016B">
      <w:pPr>
        <w:tabs>
          <w:tab w:val="left" w:pos="4050"/>
        </w:tabs>
        <w:spacing w:after="240"/>
        <w:jc w:val="both"/>
        <w:rPr>
          <w:rFonts w:ascii="Clara Sans" w:hAnsi="Clara Sans" w:cs="Calibri"/>
        </w:rPr>
      </w:pPr>
    </w:p>
    <w:p w14:paraId="2B5393E3" w14:textId="25BAD51C" w:rsidR="004136C6" w:rsidRPr="00C23763" w:rsidRDefault="004136C6" w:rsidP="004F016B">
      <w:pPr>
        <w:tabs>
          <w:tab w:val="left" w:pos="4050"/>
        </w:tabs>
        <w:spacing w:after="240"/>
        <w:jc w:val="both"/>
        <w:rPr>
          <w:rFonts w:ascii="Clara Sans" w:hAnsi="Clara Sans"/>
        </w:rPr>
      </w:pPr>
      <w:r w:rsidRPr="00C23763">
        <w:rPr>
          <w:rFonts w:ascii="Clara Sans" w:hAnsi="Clara Sans" w:cs="Calibri"/>
        </w:rPr>
        <w:t>V Českých Budějovicích</w:t>
      </w:r>
    </w:p>
    <w:p w14:paraId="5075C9D7" w14:textId="5AA87A64" w:rsidR="004136C6" w:rsidRPr="00C23763" w:rsidRDefault="004136C6" w:rsidP="004136C6">
      <w:pPr>
        <w:tabs>
          <w:tab w:val="left" w:pos="567"/>
        </w:tabs>
        <w:autoSpaceDE w:val="0"/>
        <w:autoSpaceDN w:val="0"/>
        <w:adjustRightInd w:val="0"/>
        <w:jc w:val="both"/>
        <w:rPr>
          <w:rFonts w:ascii="Clara Sans" w:hAnsi="Clara Sans" w:cs="Calibri"/>
          <w:spacing w:val="10"/>
          <w:kern w:val="20"/>
        </w:rPr>
      </w:pPr>
    </w:p>
    <w:p w14:paraId="52A5AA28" w14:textId="2D7DD31F" w:rsidR="009128B0" w:rsidRDefault="009128B0" w:rsidP="001F1160">
      <w:pPr>
        <w:tabs>
          <w:tab w:val="left" w:pos="567"/>
        </w:tabs>
        <w:autoSpaceDE w:val="0"/>
        <w:autoSpaceDN w:val="0"/>
        <w:adjustRightInd w:val="0"/>
        <w:jc w:val="both"/>
        <w:rPr>
          <w:rFonts w:ascii="Clara Sans" w:hAnsi="Clara Sans" w:cs="Calibri"/>
          <w:spacing w:val="10"/>
          <w:kern w:val="20"/>
        </w:rPr>
      </w:pPr>
    </w:p>
    <w:p w14:paraId="5D4FB942" w14:textId="77777777" w:rsidR="00F46C48" w:rsidRDefault="00F46C48" w:rsidP="001F1160">
      <w:pPr>
        <w:tabs>
          <w:tab w:val="left" w:pos="567"/>
        </w:tabs>
        <w:autoSpaceDE w:val="0"/>
        <w:autoSpaceDN w:val="0"/>
        <w:adjustRightInd w:val="0"/>
        <w:jc w:val="both"/>
        <w:rPr>
          <w:rFonts w:ascii="Clara Sans" w:hAnsi="Clara Sans" w:cs="Calibri"/>
          <w:spacing w:val="10"/>
          <w:kern w:val="20"/>
        </w:rPr>
      </w:pPr>
    </w:p>
    <w:p w14:paraId="7A2B3C44" w14:textId="77777777" w:rsidR="00F46C48" w:rsidRPr="00C12671" w:rsidRDefault="00F46C48" w:rsidP="00C12671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</w:p>
    <w:p w14:paraId="7CA43CED" w14:textId="77777777" w:rsidR="00F46C48" w:rsidRDefault="00F46C48" w:rsidP="00C12671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</w:p>
    <w:p w14:paraId="53E9420A" w14:textId="77777777" w:rsidR="00C12671" w:rsidRPr="00C12671" w:rsidRDefault="00C12671" w:rsidP="00C12671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</w:p>
    <w:p w14:paraId="26AA334D" w14:textId="77777777" w:rsidR="00F46C48" w:rsidRPr="00C12671" w:rsidRDefault="00F46C48" w:rsidP="00C12671">
      <w:pPr>
        <w:tabs>
          <w:tab w:val="left" w:pos="7665"/>
        </w:tabs>
        <w:autoSpaceDE w:val="0"/>
        <w:autoSpaceDN w:val="0"/>
        <w:adjustRightInd w:val="0"/>
        <w:jc w:val="both"/>
        <w:rPr>
          <w:rFonts w:ascii="Clara Sans" w:hAnsi="Clara Sans"/>
        </w:rPr>
      </w:pPr>
      <w:r w:rsidRPr="00C12671">
        <w:rPr>
          <w:rFonts w:ascii="Clara Sans" w:hAnsi="Clara Sans"/>
        </w:rPr>
        <w:t>prof. RNDr. František Vácha, Ph.D.</w:t>
      </w:r>
    </w:p>
    <w:p w14:paraId="0DC3AC00" w14:textId="7FF238E1" w:rsidR="00F46C48" w:rsidRPr="00C12671" w:rsidRDefault="00F46C48" w:rsidP="00C12671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r w:rsidRPr="00C12671">
        <w:rPr>
          <w:rFonts w:ascii="Clara Sans" w:hAnsi="Clara Sans"/>
        </w:rPr>
        <w:t>děkan</w:t>
      </w:r>
      <w:r w:rsidR="00645821">
        <w:rPr>
          <w:rFonts w:ascii="Clara Sans" w:hAnsi="Clara Sans"/>
        </w:rPr>
        <w:t xml:space="preserve"> </w:t>
      </w:r>
      <w:proofErr w:type="spellStart"/>
      <w:r w:rsidR="00645821">
        <w:rPr>
          <w:rFonts w:ascii="Clara Sans" w:hAnsi="Clara Sans"/>
        </w:rPr>
        <w:t>PrF</w:t>
      </w:r>
      <w:proofErr w:type="spellEnd"/>
      <w:r w:rsidR="00645821">
        <w:rPr>
          <w:rFonts w:ascii="Clara Sans" w:hAnsi="Clara Sans"/>
        </w:rPr>
        <w:t xml:space="preserve"> JU</w:t>
      </w:r>
    </w:p>
    <w:sectPr w:rsidR="00F46C48" w:rsidRPr="00C12671" w:rsidSect="00A43094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010B" w14:textId="77777777" w:rsidR="00A21903" w:rsidRDefault="00A21903" w:rsidP="001753C6">
      <w:r>
        <w:separator/>
      </w:r>
    </w:p>
  </w:endnote>
  <w:endnote w:type="continuationSeparator" w:id="0">
    <w:p w14:paraId="15B23A6A" w14:textId="77777777" w:rsidR="00A21903" w:rsidRDefault="00A21903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charset w:val="EE"/>
    <w:family w:val="auto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847" w14:textId="77777777" w:rsidR="00E541BC" w:rsidRPr="0035261B" w:rsidRDefault="0035261B" w:rsidP="0035261B">
    <w:pPr>
      <w:pStyle w:val="Zpat"/>
    </w:pPr>
    <w:r w:rsidRPr="0035261B">
      <w:rPr>
        <w:rFonts w:ascii="Clara Sans" w:hAnsi="Clara Sans" w:cs="Calibri"/>
        <w:sz w:val="18"/>
        <w:szCs w:val="18"/>
      </w:rPr>
      <w:t>Metodika PřF ke mzdovému předpisu JU upravující výši mezd ve vysoce kompetitivních grantových soutěžích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D75B" w14:textId="77777777" w:rsidR="00A21903" w:rsidRDefault="00A21903" w:rsidP="001753C6">
      <w:r>
        <w:separator/>
      </w:r>
    </w:p>
  </w:footnote>
  <w:footnote w:type="continuationSeparator" w:id="0">
    <w:p w14:paraId="3C664FBD" w14:textId="77777777" w:rsidR="00A21903" w:rsidRDefault="00A21903" w:rsidP="001753C6">
      <w:r>
        <w:continuationSeparator/>
      </w:r>
    </w:p>
  </w:footnote>
  <w:footnote w:id="1">
    <w:p w14:paraId="5AABF5D7" w14:textId="4030A001" w:rsidR="001F1160" w:rsidRDefault="001F11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160">
        <w:t>V metodice ke MP se jedná o sloupec mzdový tarif dle MP JU bez další</w:t>
      </w:r>
      <w:r>
        <w:t>ch</w:t>
      </w:r>
      <w:r w:rsidRPr="001F1160">
        <w:t xml:space="preserve"> složek mezd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18"/>
      <w:gridCol w:w="3213"/>
    </w:tblGrid>
    <w:tr w:rsidR="00DA531B" w:rsidRPr="00A43094" w14:paraId="78410B40" w14:textId="77777777" w:rsidTr="00FC787D">
      <w:tc>
        <w:tcPr>
          <w:tcW w:w="6345" w:type="dxa"/>
        </w:tcPr>
        <w:p w14:paraId="60A9EA78" w14:textId="16B6B73A" w:rsidR="00DA531B" w:rsidRPr="00A43094" w:rsidRDefault="009F6B9B" w:rsidP="00FC787D">
          <w:pPr>
            <w:pStyle w:val="Zhlav"/>
            <w:tabs>
              <w:tab w:val="clear" w:pos="9072"/>
            </w:tabs>
            <w:ind w:left="-108" w:right="-567"/>
            <w:rPr>
              <w:rFonts w:ascii="Clara Sans" w:hAnsi="Clara Sans"/>
            </w:rPr>
          </w:pPr>
          <w:r>
            <w:rPr>
              <w:rFonts w:ascii="Clara Sans" w:hAnsi="Clara Sans"/>
              <w:noProof/>
            </w:rPr>
            <w:drawing>
              <wp:inline distT="0" distB="0" distL="0" distR="0" wp14:anchorId="16FBFFA1" wp14:editId="03600BF0">
                <wp:extent cx="3476625" cy="638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7194F0AE" w14:textId="77777777" w:rsidR="00233724" w:rsidRPr="00A43094" w:rsidRDefault="00535743" w:rsidP="00CD4802">
          <w:pPr>
            <w:autoSpaceDE w:val="0"/>
            <w:autoSpaceDN w:val="0"/>
            <w:adjustRightInd w:val="0"/>
            <w:spacing w:before="120"/>
            <w:ind w:right="-108"/>
            <w:jc w:val="right"/>
            <w:rPr>
              <w:rFonts w:ascii="Clara Sans" w:hAnsi="Clara Sans" w:cs="Calibri"/>
              <w:sz w:val="18"/>
              <w:szCs w:val="18"/>
            </w:rPr>
          </w:pPr>
          <w:r w:rsidRPr="00A43094">
            <w:rPr>
              <w:rFonts w:ascii="Clara Sans" w:hAnsi="Clara Sans" w:cs="Calibri"/>
              <w:sz w:val="18"/>
              <w:szCs w:val="18"/>
            </w:rPr>
            <w:t>prof</w:t>
          </w:r>
          <w:r w:rsidR="00233724" w:rsidRPr="00A43094">
            <w:rPr>
              <w:rFonts w:ascii="Clara Sans" w:hAnsi="Clara Sans" w:cs="Calibri"/>
              <w:sz w:val="18"/>
              <w:szCs w:val="18"/>
            </w:rPr>
            <w:t>. RNDr. František Vácha, Ph.D.</w:t>
          </w:r>
        </w:p>
        <w:p w14:paraId="79E24369" w14:textId="77777777" w:rsidR="00DA531B" w:rsidRPr="00A43094" w:rsidRDefault="00233724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rFonts w:ascii="Clara Sans" w:hAnsi="Clara Sans" w:cs="Calibri"/>
            </w:rPr>
          </w:pPr>
          <w:r w:rsidRPr="00A43094">
            <w:rPr>
              <w:rFonts w:ascii="Clara Sans" w:hAnsi="Clara Sans" w:cs="Calibri"/>
              <w:sz w:val="18"/>
              <w:szCs w:val="18"/>
            </w:rPr>
            <w:t xml:space="preserve">děkan </w:t>
          </w:r>
          <w:proofErr w:type="spellStart"/>
          <w:r w:rsidRPr="00A43094">
            <w:rPr>
              <w:rFonts w:ascii="Clara Sans" w:hAnsi="Clara Sans" w:cs="Calibri"/>
              <w:color w:val="428A79"/>
              <w:sz w:val="18"/>
              <w:szCs w:val="18"/>
            </w:rPr>
            <w:t>dean</w:t>
          </w:r>
          <w:proofErr w:type="spellEnd"/>
        </w:p>
      </w:tc>
    </w:tr>
  </w:tbl>
  <w:p w14:paraId="72599D0B" w14:textId="77777777" w:rsidR="001753C6" w:rsidRPr="00A43094" w:rsidRDefault="001753C6" w:rsidP="00233724">
    <w:pPr>
      <w:pStyle w:val="Zhlav"/>
      <w:ind w:left="-567"/>
      <w:rPr>
        <w:rFonts w:ascii="Clara Sans" w:hAnsi="Clar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134"/>
    <w:multiLevelType w:val="hybridMultilevel"/>
    <w:tmpl w:val="DD744DC0"/>
    <w:lvl w:ilvl="0" w:tplc="3E56CE38">
      <w:start w:val="1"/>
      <w:numFmt w:val="decimal"/>
      <w:lvlText w:val="%1)"/>
      <w:lvlJc w:val="left"/>
      <w:pPr>
        <w:ind w:left="720" w:hanging="360"/>
      </w:pPr>
      <w:rPr>
        <w:rFonts w:ascii="Clara Sans" w:eastAsia="Times New Roman" w:hAnsi="Clara Sans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A371F"/>
    <w:multiLevelType w:val="hybridMultilevel"/>
    <w:tmpl w:val="0430E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56769">
    <w:abstractNumId w:val="1"/>
  </w:num>
  <w:num w:numId="2" w16cid:durableId="139450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10767"/>
    <w:rsid w:val="00021135"/>
    <w:rsid w:val="00024E56"/>
    <w:rsid w:val="0002716A"/>
    <w:rsid w:val="000371A4"/>
    <w:rsid w:val="0004580B"/>
    <w:rsid w:val="00045C42"/>
    <w:rsid w:val="00051609"/>
    <w:rsid w:val="00051E5A"/>
    <w:rsid w:val="00053322"/>
    <w:rsid w:val="000540A0"/>
    <w:rsid w:val="0005696A"/>
    <w:rsid w:val="00060D45"/>
    <w:rsid w:val="00061A34"/>
    <w:rsid w:val="000626FE"/>
    <w:rsid w:val="00064AF1"/>
    <w:rsid w:val="0006557F"/>
    <w:rsid w:val="00071E0F"/>
    <w:rsid w:val="00081D3B"/>
    <w:rsid w:val="00083E84"/>
    <w:rsid w:val="00086232"/>
    <w:rsid w:val="0008728E"/>
    <w:rsid w:val="00087F59"/>
    <w:rsid w:val="00090803"/>
    <w:rsid w:val="00096912"/>
    <w:rsid w:val="000A2B6A"/>
    <w:rsid w:val="000A6CD8"/>
    <w:rsid w:val="000A6FCE"/>
    <w:rsid w:val="000C065B"/>
    <w:rsid w:val="000C6620"/>
    <w:rsid w:val="000D609D"/>
    <w:rsid w:val="000D697C"/>
    <w:rsid w:val="000E269D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37A5"/>
    <w:rsid w:val="00115225"/>
    <w:rsid w:val="00116118"/>
    <w:rsid w:val="001235BD"/>
    <w:rsid w:val="001235FB"/>
    <w:rsid w:val="00123830"/>
    <w:rsid w:val="0013048E"/>
    <w:rsid w:val="00130805"/>
    <w:rsid w:val="00132E38"/>
    <w:rsid w:val="00134ADA"/>
    <w:rsid w:val="00135CA1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430"/>
    <w:rsid w:val="001753C6"/>
    <w:rsid w:val="00175A16"/>
    <w:rsid w:val="00175BF1"/>
    <w:rsid w:val="001778E1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5997"/>
    <w:rsid w:val="001C686F"/>
    <w:rsid w:val="001C7BAF"/>
    <w:rsid w:val="001D222C"/>
    <w:rsid w:val="001D5298"/>
    <w:rsid w:val="001E335B"/>
    <w:rsid w:val="001E5BAA"/>
    <w:rsid w:val="001E688B"/>
    <w:rsid w:val="001E733E"/>
    <w:rsid w:val="001F0D8D"/>
    <w:rsid w:val="001F1160"/>
    <w:rsid w:val="001F1B98"/>
    <w:rsid w:val="001F1EFD"/>
    <w:rsid w:val="001F2968"/>
    <w:rsid w:val="001F5278"/>
    <w:rsid w:val="001F5A1A"/>
    <w:rsid w:val="002016E5"/>
    <w:rsid w:val="00205708"/>
    <w:rsid w:val="0020666F"/>
    <w:rsid w:val="00210AD0"/>
    <w:rsid w:val="002156C0"/>
    <w:rsid w:val="00223DBD"/>
    <w:rsid w:val="0022670A"/>
    <w:rsid w:val="00226A96"/>
    <w:rsid w:val="00231098"/>
    <w:rsid w:val="0023178C"/>
    <w:rsid w:val="00233724"/>
    <w:rsid w:val="00235D75"/>
    <w:rsid w:val="00245AC1"/>
    <w:rsid w:val="002549FE"/>
    <w:rsid w:val="00260646"/>
    <w:rsid w:val="00272153"/>
    <w:rsid w:val="00275E5E"/>
    <w:rsid w:val="00275F85"/>
    <w:rsid w:val="00286AFD"/>
    <w:rsid w:val="00287B2B"/>
    <w:rsid w:val="002900E2"/>
    <w:rsid w:val="002917AB"/>
    <w:rsid w:val="002953F0"/>
    <w:rsid w:val="002A31E3"/>
    <w:rsid w:val="002B0501"/>
    <w:rsid w:val="002C12D0"/>
    <w:rsid w:val="002C2030"/>
    <w:rsid w:val="002C4E0B"/>
    <w:rsid w:val="002C4F5A"/>
    <w:rsid w:val="002C6FBF"/>
    <w:rsid w:val="002D0109"/>
    <w:rsid w:val="002D074E"/>
    <w:rsid w:val="002E577E"/>
    <w:rsid w:val="002E65BF"/>
    <w:rsid w:val="002F00A0"/>
    <w:rsid w:val="00306121"/>
    <w:rsid w:val="0031375E"/>
    <w:rsid w:val="00313A5D"/>
    <w:rsid w:val="00315A39"/>
    <w:rsid w:val="003226E0"/>
    <w:rsid w:val="0032463B"/>
    <w:rsid w:val="0032672B"/>
    <w:rsid w:val="00331187"/>
    <w:rsid w:val="00335145"/>
    <w:rsid w:val="003374E7"/>
    <w:rsid w:val="00341384"/>
    <w:rsid w:val="0035261B"/>
    <w:rsid w:val="00352C14"/>
    <w:rsid w:val="0035566B"/>
    <w:rsid w:val="00367112"/>
    <w:rsid w:val="00376BAD"/>
    <w:rsid w:val="003800E5"/>
    <w:rsid w:val="003822CC"/>
    <w:rsid w:val="003822FA"/>
    <w:rsid w:val="00384E82"/>
    <w:rsid w:val="00385E30"/>
    <w:rsid w:val="003875BD"/>
    <w:rsid w:val="003926ED"/>
    <w:rsid w:val="00396512"/>
    <w:rsid w:val="003970D4"/>
    <w:rsid w:val="00397F38"/>
    <w:rsid w:val="003A0433"/>
    <w:rsid w:val="003A541D"/>
    <w:rsid w:val="003A5636"/>
    <w:rsid w:val="003B19FD"/>
    <w:rsid w:val="003B7F10"/>
    <w:rsid w:val="003C3BC7"/>
    <w:rsid w:val="003C483D"/>
    <w:rsid w:val="003C72FB"/>
    <w:rsid w:val="003D17B7"/>
    <w:rsid w:val="003D38BD"/>
    <w:rsid w:val="003D48DB"/>
    <w:rsid w:val="003D5742"/>
    <w:rsid w:val="003E2997"/>
    <w:rsid w:val="003E79C4"/>
    <w:rsid w:val="0040134A"/>
    <w:rsid w:val="0041207B"/>
    <w:rsid w:val="004136C6"/>
    <w:rsid w:val="00413EE3"/>
    <w:rsid w:val="004157E9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6320B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4A5D"/>
    <w:rsid w:val="004B7B31"/>
    <w:rsid w:val="004C0BC2"/>
    <w:rsid w:val="004C65B1"/>
    <w:rsid w:val="004D1A13"/>
    <w:rsid w:val="004D1ECB"/>
    <w:rsid w:val="004D5027"/>
    <w:rsid w:val="004E0E7A"/>
    <w:rsid w:val="004E20EB"/>
    <w:rsid w:val="004E4ACD"/>
    <w:rsid w:val="004E503C"/>
    <w:rsid w:val="004E54E7"/>
    <w:rsid w:val="004E58F9"/>
    <w:rsid w:val="004E699D"/>
    <w:rsid w:val="004E6E4E"/>
    <w:rsid w:val="004E71C7"/>
    <w:rsid w:val="004F016B"/>
    <w:rsid w:val="004F027B"/>
    <w:rsid w:val="004F4A92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2449B"/>
    <w:rsid w:val="005350BA"/>
    <w:rsid w:val="00535743"/>
    <w:rsid w:val="00536A28"/>
    <w:rsid w:val="00541839"/>
    <w:rsid w:val="00541EB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95825"/>
    <w:rsid w:val="005A2703"/>
    <w:rsid w:val="005A7019"/>
    <w:rsid w:val="005B56FF"/>
    <w:rsid w:val="005C4B01"/>
    <w:rsid w:val="005C5613"/>
    <w:rsid w:val="005D178D"/>
    <w:rsid w:val="005D3EF3"/>
    <w:rsid w:val="005D4200"/>
    <w:rsid w:val="005F0A0B"/>
    <w:rsid w:val="005F16BE"/>
    <w:rsid w:val="005F18BE"/>
    <w:rsid w:val="005F3E9F"/>
    <w:rsid w:val="005F54D4"/>
    <w:rsid w:val="005F64D1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45821"/>
    <w:rsid w:val="00654EC6"/>
    <w:rsid w:val="0066156C"/>
    <w:rsid w:val="00670551"/>
    <w:rsid w:val="00672A7A"/>
    <w:rsid w:val="00673020"/>
    <w:rsid w:val="006779E6"/>
    <w:rsid w:val="00681C5E"/>
    <w:rsid w:val="0068504A"/>
    <w:rsid w:val="00685D66"/>
    <w:rsid w:val="006915F0"/>
    <w:rsid w:val="006A44E0"/>
    <w:rsid w:val="006A62C3"/>
    <w:rsid w:val="006A79A2"/>
    <w:rsid w:val="006B1408"/>
    <w:rsid w:val="006B478A"/>
    <w:rsid w:val="006D0F58"/>
    <w:rsid w:val="006D127D"/>
    <w:rsid w:val="006E10A1"/>
    <w:rsid w:val="006E134A"/>
    <w:rsid w:val="006E2E78"/>
    <w:rsid w:val="006E3257"/>
    <w:rsid w:val="006E51EA"/>
    <w:rsid w:val="006E6E41"/>
    <w:rsid w:val="006F0714"/>
    <w:rsid w:val="006F0DC6"/>
    <w:rsid w:val="006F4985"/>
    <w:rsid w:val="006F6781"/>
    <w:rsid w:val="006F7F81"/>
    <w:rsid w:val="00707760"/>
    <w:rsid w:val="00713A91"/>
    <w:rsid w:val="00715818"/>
    <w:rsid w:val="0072281F"/>
    <w:rsid w:val="00730F01"/>
    <w:rsid w:val="00731978"/>
    <w:rsid w:val="0073311D"/>
    <w:rsid w:val="00736FF0"/>
    <w:rsid w:val="007378D6"/>
    <w:rsid w:val="00742EF2"/>
    <w:rsid w:val="007548DA"/>
    <w:rsid w:val="00756A0B"/>
    <w:rsid w:val="00757719"/>
    <w:rsid w:val="00766CA0"/>
    <w:rsid w:val="0077412B"/>
    <w:rsid w:val="0077664C"/>
    <w:rsid w:val="00777F51"/>
    <w:rsid w:val="00780586"/>
    <w:rsid w:val="007830E7"/>
    <w:rsid w:val="00783D49"/>
    <w:rsid w:val="00787930"/>
    <w:rsid w:val="00790921"/>
    <w:rsid w:val="007A0E5C"/>
    <w:rsid w:val="007A3061"/>
    <w:rsid w:val="007A4CFB"/>
    <w:rsid w:val="007A734D"/>
    <w:rsid w:val="007B04F3"/>
    <w:rsid w:val="007B45B3"/>
    <w:rsid w:val="007B7BDE"/>
    <w:rsid w:val="007C20D2"/>
    <w:rsid w:val="007C628A"/>
    <w:rsid w:val="007D38CD"/>
    <w:rsid w:val="007D5369"/>
    <w:rsid w:val="007D5493"/>
    <w:rsid w:val="007D6F6A"/>
    <w:rsid w:val="007E0CB1"/>
    <w:rsid w:val="007E196C"/>
    <w:rsid w:val="007E7E4A"/>
    <w:rsid w:val="007F15F0"/>
    <w:rsid w:val="007F41E5"/>
    <w:rsid w:val="00800247"/>
    <w:rsid w:val="0080144F"/>
    <w:rsid w:val="00810923"/>
    <w:rsid w:val="0081789C"/>
    <w:rsid w:val="00822FE7"/>
    <w:rsid w:val="00825B39"/>
    <w:rsid w:val="008300BB"/>
    <w:rsid w:val="00832E9C"/>
    <w:rsid w:val="0083459A"/>
    <w:rsid w:val="008348C0"/>
    <w:rsid w:val="00837EE9"/>
    <w:rsid w:val="008421A5"/>
    <w:rsid w:val="008422D3"/>
    <w:rsid w:val="00845B32"/>
    <w:rsid w:val="00846264"/>
    <w:rsid w:val="0084746A"/>
    <w:rsid w:val="00847727"/>
    <w:rsid w:val="00847AB0"/>
    <w:rsid w:val="00851A61"/>
    <w:rsid w:val="008543EC"/>
    <w:rsid w:val="008579A8"/>
    <w:rsid w:val="008607B1"/>
    <w:rsid w:val="00861490"/>
    <w:rsid w:val="0086216F"/>
    <w:rsid w:val="0086780B"/>
    <w:rsid w:val="008733F7"/>
    <w:rsid w:val="00884040"/>
    <w:rsid w:val="00891A63"/>
    <w:rsid w:val="00896D2A"/>
    <w:rsid w:val="008A05F6"/>
    <w:rsid w:val="008A5A23"/>
    <w:rsid w:val="008D0EC0"/>
    <w:rsid w:val="008D2D1D"/>
    <w:rsid w:val="008D698E"/>
    <w:rsid w:val="008D6BBB"/>
    <w:rsid w:val="008E13B5"/>
    <w:rsid w:val="008E1DBF"/>
    <w:rsid w:val="008E319E"/>
    <w:rsid w:val="008E7BC7"/>
    <w:rsid w:val="008F19A8"/>
    <w:rsid w:val="008F1A32"/>
    <w:rsid w:val="008F3193"/>
    <w:rsid w:val="00903260"/>
    <w:rsid w:val="00904719"/>
    <w:rsid w:val="00905742"/>
    <w:rsid w:val="00905A5E"/>
    <w:rsid w:val="00906BCA"/>
    <w:rsid w:val="009122FE"/>
    <w:rsid w:val="009128B0"/>
    <w:rsid w:val="00914B9E"/>
    <w:rsid w:val="00925FA7"/>
    <w:rsid w:val="00932497"/>
    <w:rsid w:val="0093394B"/>
    <w:rsid w:val="00935DBA"/>
    <w:rsid w:val="00942790"/>
    <w:rsid w:val="009443DE"/>
    <w:rsid w:val="00956891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2596"/>
    <w:rsid w:val="009B7CF0"/>
    <w:rsid w:val="009C2FEC"/>
    <w:rsid w:val="009D105B"/>
    <w:rsid w:val="009D69A0"/>
    <w:rsid w:val="009E5C85"/>
    <w:rsid w:val="009F02B8"/>
    <w:rsid w:val="009F1755"/>
    <w:rsid w:val="009F1845"/>
    <w:rsid w:val="009F23E6"/>
    <w:rsid w:val="009F4CA7"/>
    <w:rsid w:val="009F54C1"/>
    <w:rsid w:val="009F6B9B"/>
    <w:rsid w:val="009F7090"/>
    <w:rsid w:val="009F7416"/>
    <w:rsid w:val="00A0132A"/>
    <w:rsid w:val="00A01413"/>
    <w:rsid w:val="00A01610"/>
    <w:rsid w:val="00A01B89"/>
    <w:rsid w:val="00A02BBC"/>
    <w:rsid w:val="00A160EB"/>
    <w:rsid w:val="00A2121D"/>
    <w:rsid w:val="00A21903"/>
    <w:rsid w:val="00A21D62"/>
    <w:rsid w:val="00A310BD"/>
    <w:rsid w:val="00A41672"/>
    <w:rsid w:val="00A43094"/>
    <w:rsid w:val="00A5432E"/>
    <w:rsid w:val="00A57BBF"/>
    <w:rsid w:val="00A72489"/>
    <w:rsid w:val="00A826B7"/>
    <w:rsid w:val="00A84B73"/>
    <w:rsid w:val="00A85A32"/>
    <w:rsid w:val="00A92236"/>
    <w:rsid w:val="00A92790"/>
    <w:rsid w:val="00A93713"/>
    <w:rsid w:val="00A93E15"/>
    <w:rsid w:val="00A9404B"/>
    <w:rsid w:val="00A973F6"/>
    <w:rsid w:val="00AA3B61"/>
    <w:rsid w:val="00AA5387"/>
    <w:rsid w:val="00AB09FF"/>
    <w:rsid w:val="00AC05A0"/>
    <w:rsid w:val="00AD0E95"/>
    <w:rsid w:val="00AD4CC4"/>
    <w:rsid w:val="00AD6044"/>
    <w:rsid w:val="00AD6844"/>
    <w:rsid w:val="00AD6869"/>
    <w:rsid w:val="00AD72D2"/>
    <w:rsid w:val="00AD791A"/>
    <w:rsid w:val="00AE175D"/>
    <w:rsid w:val="00AE60C0"/>
    <w:rsid w:val="00AF309F"/>
    <w:rsid w:val="00AF589E"/>
    <w:rsid w:val="00B0059A"/>
    <w:rsid w:val="00B01D82"/>
    <w:rsid w:val="00B02F83"/>
    <w:rsid w:val="00B041E2"/>
    <w:rsid w:val="00B0506D"/>
    <w:rsid w:val="00B07C16"/>
    <w:rsid w:val="00B15B71"/>
    <w:rsid w:val="00B174D4"/>
    <w:rsid w:val="00B17F0F"/>
    <w:rsid w:val="00B25776"/>
    <w:rsid w:val="00B26EEA"/>
    <w:rsid w:val="00B311A5"/>
    <w:rsid w:val="00B340F0"/>
    <w:rsid w:val="00B349F3"/>
    <w:rsid w:val="00B36125"/>
    <w:rsid w:val="00B4105F"/>
    <w:rsid w:val="00B43A49"/>
    <w:rsid w:val="00B43C04"/>
    <w:rsid w:val="00B44227"/>
    <w:rsid w:val="00B45208"/>
    <w:rsid w:val="00B46731"/>
    <w:rsid w:val="00B46A0C"/>
    <w:rsid w:val="00B553CB"/>
    <w:rsid w:val="00B565CA"/>
    <w:rsid w:val="00B61592"/>
    <w:rsid w:val="00B63B8C"/>
    <w:rsid w:val="00B678B9"/>
    <w:rsid w:val="00B71992"/>
    <w:rsid w:val="00B7215D"/>
    <w:rsid w:val="00B721B7"/>
    <w:rsid w:val="00B76105"/>
    <w:rsid w:val="00B770D2"/>
    <w:rsid w:val="00B869F8"/>
    <w:rsid w:val="00B86E9E"/>
    <w:rsid w:val="00B93740"/>
    <w:rsid w:val="00B96692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1F40"/>
    <w:rsid w:val="00C07DCC"/>
    <w:rsid w:val="00C12671"/>
    <w:rsid w:val="00C14D19"/>
    <w:rsid w:val="00C163A8"/>
    <w:rsid w:val="00C236EE"/>
    <w:rsid w:val="00C23763"/>
    <w:rsid w:val="00C276C9"/>
    <w:rsid w:val="00C32018"/>
    <w:rsid w:val="00C32B75"/>
    <w:rsid w:val="00C33C76"/>
    <w:rsid w:val="00C37236"/>
    <w:rsid w:val="00C404BC"/>
    <w:rsid w:val="00C44A23"/>
    <w:rsid w:val="00C45BAE"/>
    <w:rsid w:val="00C46A42"/>
    <w:rsid w:val="00C47F26"/>
    <w:rsid w:val="00C53386"/>
    <w:rsid w:val="00C71DBD"/>
    <w:rsid w:val="00C737E6"/>
    <w:rsid w:val="00C84113"/>
    <w:rsid w:val="00C85B3D"/>
    <w:rsid w:val="00C87BD7"/>
    <w:rsid w:val="00C91F2C"/>
    <w:rsid w:val="00CB4FE5"/>
    <w:rsid w:val="00CC0B16"/>
    <w:rsid w:val="00CC0F6C"/>
    <w:rsid w:val="00CC1716"/>
    <w:rsid w:val="00CC71F7"/>
    <w:rsid w:val="00CD2287"/>
    <w:rsid w:val="00CD2922"/>
    <w:rsid w:val="00CD419B"/>
    <w:rsid w:val="00CD4311"/>
    <w:rsid w:val="00CD4802"/>
    <w:rsid w:val="00CD5245"/>
    <w:rsid w:val="00CE1341"/>
    <w:rsid w:val="00CE1DE3"/>
    <w:rsid w:val="00CF18AB"/>
    <w:rsid w:val="00CF4FBE"/>
    <w:rsid w:val="00CF6C0B"/>
    <w:rsid w:val="00D06C4E"/>
    <w:rsid w:val="00D11614"/>
    <w:rsid w:val="00D231A6"/>
    <w:rsid w:val="00D25675"/>
    <w:rsid w:val="00D26E3E"/>
    <w:rsid w:val="00D46315"/>
    <w:rsid w:val="00D521A8"/>
    <w:rsid w:val="00D53D73"/>
    <w:rsid w:val="00D54897"/>
    <w:rsid w:val="00D5636B"/>
    <w:rsid w:val="00D578B0"/>
    <w:rsid w:val="00D64FF0"/>
    <w:rsid w:val="00D65228"/>
    <w:rsid w:val="00D67E6E"/>
    <w:rsid w:val="00D7028E"/>
    <w:rsid w:val="00D73075"/>
    <w:rsid w:val="00D751CA"/>
    <w:rsid w:val="00D76B2D"/>
    <w:rsid w:val="00D7742C"/>
    <w:rsid w:val="00D802EF"/>
    <w:rsid w:val="00D86BCC"/>
    <w:rsid w:val="00D90396"/>
    <w:rsid w:val="00D940E7"/>
    <w:rsid w:val="00D94106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58B1"/>
    <w:rsid w:val="00E36402"/>
    <w:rsid w:val="00E37119"/>
    <w:rsid w:val="00E40788"/>
    <w:rsid w:val="00E410CB"/>
    <w:rsid w:val="00E42D7E"/>
    <w:rsid w:val="00E435B3"/>
    <w:rsid w:val="00E46FE0"/>
    <w:rsid w:val="00E539CC"/>
    <w:rsid w:val="00E541BC"/>
    <w:rsid w:val="00E54E50"/>
    <w:rsid w:val="00E57EED"/>
    <w:rsid w:val="00E64F8E"/>
    <w:rsid w:val="00E74176"/>
    <w:rsid w:val="00E847F5"/>
    <w:rsid w:val="00E95945"/>
    <w:rsid w:val="00EA2847"/>
    <w:rsid w:val="00EA2F40"/>
    <w:rsid w:val="00EA7929"/>
    <w:rsid w:val="00EB0434"/>
    <w:rsid w:val="00EB7113"/>
    <w:rsid w:val="00EC0039"/>
    <w:rsid w:val="00EC2549"/>
    <w:rsid w:val="00EC365A"/>
    <w:rsid w:val="00EC4B31"/>
    <w:rsid w:val="00EC5FDD"/>
    <w:rsid w:val="00EC5FF7"/>
    <w:rsid w:val="00EC6B41"/>
    <w:rsid w:val="00ED3CF4"/>
    <w:rsid w:val="00ED5CEB"/>
    <w:rsid w:val="00EE15B7"/>
    <w:rsid w:val="00EE73F8"/>
    <w:rsid w:val="00EF4FFF"/>
    <w:rsid w:val="00EF5CA4"/>
    <w:rsid w:val="00EF6C3C"/>
    <w:rsid w:val="00F016C6"/>
    <w:rsid w:val="00F03DDC"/>
    <w:rsid w:val="00F05307"/>
    <w:rsid w:val="00F10346"/>
    <w:rsid w:val="00F138BF"/>
    <w:rsid w:val="00F2085F"/>
    <w:rsid w:val="00F24F72"/>
    <w:rsid w:val="00F26C7D"/>
    <w:rsid w:val="00F26EB9"/>
    <w:rsid w:val="00F27429"/>
    <w:rsid w:val="00F30E85"/>
    <w:rsid w:val="00F3182C"/>
    <w:rsid w:val="00F3662E"/>
    <w:rsid w:val="00F41D71"/>
    <w:rsid w:val="00F440FF"/>
    <w:rsid w:val="00F44DE2"/>
    <w:rsid w:val="00F46887"/>
    <w:rsid w:val="00F46C48"/>
    <w:rsid w:val="00F51484"/>
    <w:rsid w:val="00F60B6C"/>
    <w:rsid w:val="00F63B3E"/>
    <w:rsid w:val="00F64C4B"/>
    <w:rsid w:val="00F65BB3"/>
    <w:rsid w:val="00F67C1A"/>
    <w:rsid w:val="00F729A9"/>
    <w:rsid w:val="00F7501A"/>
    <w:rsid w:val="00F81BA8"/>
    <w:rsid w:val="00F8223B"/>
    <w:rsid w:val="00F87AA6"/>
    <w:rsid w:val="00FA14D3"/>
    <w:rsid w:val="00FA296C"/>
    <w:rsid w:val="00FA66D2"/>
    <w:rsid w:val="00FB3B08"/>
    <w:rsid w:val="00FB663B"/>
    <w:rsid w:val="00FB7E58"/>
    <w:rsid w:val="00FC5371"/>
    <w:rsid w:val="00FC787D"/>
    <w:rsid w:val="00FD5388"/>
    <w:rsid w:val="00FD5416"/>
    <w:rsid w:val="00FD5F36"/>
    <w:rsid w:val="00FE149A"/>
    <w:rsid w:val="00FE3592"/>
    <w:rsid w:val="00FF14A9"/>
    <w:rsid w:val="00FF20E4"/>
    <w:rsid w:val="00FF4C2F"/>
    <w:rsid w:val="00FF62A8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69C96"/>
  <w15:chartTrackingRefBased/>
  <w15:docId w15:val="{C1E51350-302F-46C0-9E7B-AD67214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F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6C0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C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C0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C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C0B"/>
  </w:style>
  <w:style w:type="character" w:styleId="Znakapoznpodarou">
    <w:name w:val="footnote reference"/>
    <w:uiPriority w:val="99"/>
    <w:semiHidden/>
    <w:unhideWhenUsed/>
    <w:rsid w:val="00CF6C0B"/>
    <w:rPr>
      <w:vertAlign w:val="superscript"/>
    </w:rPr>
  </w:style>
  <w:style w:type="paragraph" w:styleId="Revize">
    <w:name w:val="Revision"/>
    <w:hidden/>
    <w:uiPriority w:val="99"/>
    <w:semiHidden/>
    <w:rsid w:val="00CF6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AD47A-DE7F-4BE6-9F4C-B0C296CA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585</Words>
  <Characters>3052</Characters>
  <Application>Microsoft Office Word</Application>
  <DocSecurity>0</DocSecurity>
  <Lines>98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Veronika Ing.</dc:creator>
  <cp:keywords/>
  <dc:description/>
  <cp:lastModifiedBy>Vácha František prof. RNDr. Ph.D.</cp:lastModifiedBy>
  <cp:revision>14</cp:revision>
  <dcterms:created xsi:type="dcterms:W3CDTF">2025-11-04T07:34:00Z</dcterms:created>
  <dcterms:modified xsi:type="dcterms:W3CDTF">2025-11-04T10:23:00Z</dcterms:modified>
</cp:coreProperties>
</file>